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F10" w:rsidRPr="00194AA6" w:rsidRDefault="00193F10" w:rsidP="00194AA6">
      <w:pPr>
        <w:jc w:val="center"/>
        <w:rPr>
          <w:sz w:val="22"/>
          <w:szCs w:val="22"/>
        </w:rPr>
      </w:pPr>
    </w:p>
    <w:p w:rsidR="00193F10" w:rsidRDefault="00E476AE" w:rsidP="00194AA6">
      <w:pPr>
        <w:jc w:val="center"/>
      </w:pPr>
      <w:r>
        <w:rPr>
          <w:noProof/>
        </w:rPr>
        <w:drawing>
          <wp:inline distT="0" distB="0" distL="0" distR="0" wp14:anchorId="23848E32" wp14:editId="2F4FC6AB">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rsidR="001771DC" w:rsidRPr="00194AA6" w:rsidRDefault="001771DC" w:rsidP="00194AA6">
      <w:pPr>
        <w:jc w:val="center"/>
        <w:rPr>
          <w:sz w:val="22"/>
          <w:szCs w:val="22"/>
        </w:rPr>
      </w:pPr>
    </w:p>
    <w:p w:rsidR="00193F10" w:rsidRPr="00194AA6" w:rsidRDefault="00193F10" w:rsidP="003C5D7A">
      <w:pPr>
        <w:jc w:val="center"/>
        <w:rPr>
          <w:b/>
          <w:sz w:val="22"/>
          <w:szCs w:val="22"/>
        </w:rPr>
      </w:pPr>
      <w:r w:rsidRPr="003C5D7A">
        <w:rPr>
          <w:b/>
          <w:sz w:val="22"/>
          <w:szCs w:val="22"/>
        </w:rPr>
        <w:t>TECHNICAL E</w:t>
      </w:r>
      <w:r w:rsidRPr="00194AA6">
        <w:rPr>
          <w:b/>
          <w:sz w:val="22"/>
          <w:szCs w:val="22"/>
        </w:rPr>
        <w:t>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C91428" w:rsidRDefault="00194AA6" w:rsidP="003C5D7A">
      <w:pPr>
        <w:spacing w:after="120"/>
        <w:jc w:val="center"/>
        <w:rPr>
          <w:bCs/>
          <w:szCs w:val="22"/>
        </w:rPr>
      </w:pPr>
      <w:r w:rsidRPr="00C91428">
        <w:rPr>
          <w:b/>
          <w:sz w:val="22"/>
          <w:szCs w:val="22"/>
        </w:rPr>
        <w:t>APPLICANT</w:t>
      </w:r>
    </w:p>
    <w:p w:rsidR="00194AA6" w:rsidRPr="00C91428" w:rsidRDefault="00C91428" w:rsidP="00194AA6">
      <w:pPr>
        <w:widowControl w:val="0"/>
        <w:jc w:val="center"/>
        <w:rPr>
          <w:sz w:val="22"/>
          <w:szCs w:val="22"/>
        </w:rPr>
      </w:pPr>
      <w:r w:rsidRPr="00C91428">
        <w:rPr>
          <w:sz w:val="22"/>
          <w:szCs w:val="22"/>
        </w:rPr>
        <w:t>Lee County Solid Waste Division</w:t>
      </w:r>
    </w:p>
    <w:p w:rsidR="00194AA6" w:rsidRPr="00C91428" w:rsidRDefault="00C91428" w:rsidP="00194AA6">
      <w:pPr>
        <w:widowControl w:val="0"/>
        <w:jc w:val="center"/>
        <w:rPr>
          <w:sz w:val="22"/>
          <w:szCs w:val="22"/>
        </w:rPr>
      </w:pPr>
      <w:r w:rsidRPr="00C91428">
        <w:rPr>
          <w:sz w:val="22"/>
          <w:szCs w:val="22"/>
        </w:rPr>
        <w:t>10500 Buckingham Road</w:t>
      </w:r>
    </w:p>
    <w:p w:rsidR="00194AA6" w:rsidRPr="00C91428" w:rsidRDefault="00C91428" w:rsidP="00194AA6">
      <w:pPr>
        <w:widowControl w:val="0"/>
        <w:jc w:val="center"/>
        <w:rPr>
          <w:sz w:val="22"/>
          <w:szCs w:val="22"/>
        </w:rPr>
      </w:pPr>
      <w:r w:rsidRPr="00C91428">
        <w:rPr>
          <w:sz w:val="22"/>
          <w:szCs w:val="22"/>
        </w:rPr>
        <w:t xml:space="preserve">Fort Myers, </w:t>
      </w:r>
      <w:proofErr w:type="gramStart"/>
      <w:r w:rsidRPr="00C91428">
        <w:rPr>
          <w:sz w:val="22"/>
          <w:szCs w:val="22"/>
        </w:rPr>
        <w:t>Florida  33905</w:t>
      </w:r>
      <w:proofErr w:type="gramEnd"/>
    </w:p>
    <w:p w:rsidR="00194AA6" w:rsidRPr="00C91428" w:rsidRDefault="00194AA6" w:rsidP="00194AA6">
      <w:pPr>
        <w:widowControl w:val="0"/>
        <w:jc w:val="center"/>
        <w:rPr>
          <w:sz w:val="22"/>
          <w:szCs w:val="22"/>
        </w:rPr>
      </w:pPr>
    </w:p>
    <w:p w:rsidR="00194AA6" w:rsidRPr="00C91428" w:rsidRDefault="00C91428" w:rsidP="00194AA6">
      <w:pPr>
        <w:widowControl w:val="0"/>
        <w:jc w:val="center"/>
        <w:rPr>
          <w:sz w:val="22"/>
          <w:szCs w:val="22"/>
        </w:rPr>
      </w:pPr>
      <w:r w:rsidRPr="00C91428">
        <w:rPr>
          <w:sz w:val="22"/>
          <w:szCs w:val="22"/>
        </w:rPr>
        <w:t>Lee County Solid Waste Resource Recovery Facility</w:t>
      </w:r>
    </w:p>
    <w:p w:rsidR="00194AA6" w:rsidRPr="00C91428" w:rsidRDefault="00194AA6" w:rsidP="00194AA6">
      <w:pPr>
        <w:widowControl w:val="0"/>
        <w:jc w:val="center"/>
        <w:rPr>
          <w:sz w:val="22"/>
          <w:szCs w:val="22"/>
        </w:rPr>
      </w:pPr>
      <w:r w:rsidRPr="00C91428">
        <w:rPr>
          <w:sz w:val="22"/>
          <w:szCs w:val="22"/>
        </w:rPr>
        <w:t xml:space="preserve">Facility ID No. </w:t>
      </w:r>
      <w:r w:rsidR="00C91428" w:rsidRPr="00C91428">
        <w:rPr>
          <w:sz w:val="22"/>
          <w:szCs w:val="22"/>
        </w:rPr>
        <w:t>0710119</w:t>
      </w:r>
    </w:p>
    <w:p w:rsidR="00194AA6" w:rsidRPr="00C91428" w:rsidRDefault="00194AA6" w:rsidP="00194AA6">
      <w:pPr>
        <w:jc w:val="center"/>
        <w:rPr>
          <w:sz w:val="22"/>
        </w:rPr>
      </w:pPr>
    </w:p>
    <w:p w:rsidR="00194AA6" w:rsidRPr="00C91428" w:rsidRDefault="00194AA6" w:rsidP="00194AA6">
      <w:pPr>
        <w:jc w:val="center"/>
        <w:rPr>
          <w:sz w:val="22"/>
        </w:rPr>
      </w:pPr>
    </w:p>
    <w:p w:rsidR="00194AA6" w:rsidRPr="00C91428" w:rsidRDefault="00194AA6" w:rsidP="00194AA6">
      <w:pPr>
        <w:jc w:val="center"/>
        <w:rPr>
          <w:sz w:val="22"/>
        </w:rPr>
      </w:pPr>
    </w:p>
    <w:p w:rsidR="00193F10" w:rsidRPr="00C91428" w:rsidRDefault="00193F10" w:rsidP="003C5D7A">
      <w:pPr>
        <w:spacing w:after="120"/>
        <w:jc w:val="center"/>
        <w:rPr>
          <w:bCs/>
        </w:rPr>
      </w:pPr>
      <w:r w:rsidRPr="00C91428">
        <w:rPr>
          <w:b/>
          <w:sz w:val="22"/>
          <w:szCs w:val="22"/>
        </w:rPr>
        <w:t>PROJECT</w:t>
      </w:r>
    </w:p>
    <w:p w:rsidR="00193F10" w:rsidRPr="00C91428" w:rsidRDefault="00193F10" w:rsidP="003C5D7A">
      <w:pPr>
        <w:jc w:val="center"/>
        <w:rPr>
          <w:sz w:val="22"/>
        </w:rPr>
      </w:pPr>
      <w:r w:rsidRPr="00C91428">
        <w:rPr>
          <w:sz w:val="22"/>
        </w:rPr>
        <w:t>P</w:t>
      </w:r>
      <w:r w:rsidR="00194AA6" w:rsidRPr="00C91428">
        <w:rPr>
          <w:sz w:val="22"/>
        </w:rPr>
        <w:t>roject</w:t>
      </w:r>
      <w:r w:rsidRPr="00C91428">
        <w:rPr>
          <w:sz w:val="22"/>
        </w:rPr>
        <w:t xml:space="preserve"> No. </w:t>
      </w:r>
      <w:r w:rsidR="00374AEE" w:rsidRPr="00C91428">
        <w:rPr>
          <w:sz w:val="22"/>
        </w:rPr>
        <w:t>0710119-014</w:t>
      </w:r>
      <w:r w:rsidR="008603FF" w:rsidRPr="00C91428">
        <w:rPr>
          <w:sz w:val="22"/>
        </w:rPr>
        <w:t>-AC</w:t>
      </w:r>
    </w:p>
    <w:p w:rsidR="00374AEE" w:rsidRPr="00C91428" w:rsidRDefault="00374AEE" w:rsidP="003C5D7A">
      <w:pPr>
        <w:jc w:val="center"/>
        <w:rPr>
          <w:sz w:val="22"/>
        </w:rPr>
      </w:pPr>
      <w:r w:rsidRPr="00C91428">
        <w:rPr>
          <w:sz w:val="22"/>
        </w:rPr>
        <w:t>PSD-FL-151H</w:t>
      </w:r>
    </w:p>
    <w:p w:rsidR="00194AA6" w:rsidRPr="00C91428" w:rsidRDefault="00194AA6" w:rsidP="00194AA6">
      <w:pPr>
        <w:jc w:val="center"/>
        <w:rPr>
          <w:sz w:val="22"/>
        </w:rPr>
      </w:pPr>
      <w:r w:rsidRPr="00C91428">
        <w:rPr>
          <w:sz w:val="22"/>
        </w:rPr>
        <w:t xml:space="preserve">Application for </w:t>
      </w:r>
      <w:r w:rsidR="008603FF" w:rsidRPr="00C91428">
        <w:rPr>
          <w:sz w:val="22"/>
        </w:rPr>
        <w:t xml:space="preserve">Minor Source </w:t>
      </w:r>
      <w:r w:rsidRPr="00C91428">
        <w:rPr>
          <w:sz w:val="22"/>
        </w:rPr>
        <w:t>Air Construction Permit</w:t>
      </w:r>
    </w:p>
    <w:p w:rsidR="00193F10" w:rsidRDefault="00C91428" w:rsidP="00194AA6">
      <w:pPr>
        <w:jc w:val="center"/>
        <w:rPr>
          <w:sz w:val="22"/>
        </w:rPr>
      </w:pPr>
      <w:r w:rsidRPr="00C91428">
        <w:rPr>
          <w:sz w:val="22"/>
        </w:rPr>
        <w:t>Re-Permitting of Facility</w:t>
      </w:r>
    </w:p>
    <w:p w:rsidR="00193F10" w:rsidRDefault="00193F10" w:rsidP="00194AA6">
      <w:pPr>
        <w:jc w:val="center"/>
        <w:rPr>
          <w:sz w:val="22"/>
        </w:rPr>
      </w:pPr>
    </w:p>
    <w:p w:rsidR="00193F10" w:rsidRDefault="00193F10" w:rsidP="00194AA6">
      <w:pPr>
        <w:jc w:val="center"/>
        <w:rPr>
          <w:sz w:val="22"/>
        </w:rPr>
      </w:pPr>
    </w:p>
    <w:p w:rsidR="00193F10" w:rsidRDefault="00193F10" w:rsidP="003C5D7A">
      <w:pPr>
        <w:spacing w:after="120"/>
        <w:jc w:val="center"/>
        <w:rPr>
          <w:bCs/>
        </w:rPr>
      </w:pPr>
      <w:r w:rsidRPr="003C5D7A">
        <w:rPr>
          <w:b/>
          <w:sz w:val="22"/>
          <w:szCs w:val="22"/>
        </w:rPr>
        <w:t>COUNTY</w:t>
      </w:r>
    </w:p>
    <w:p w:rsidR="00193F10" w:rsidRPr="001D487F" w:rsidRDefault="00C91428" w:rsidP="00194AA6">
      <w:pPr>
        <w:jc w:val="center"/>
        <w:rPr>
          <w:sz w:val="22"/>
        </w:rPr>
      </w:pPr>
      <w:r>
        <w:rPr>
          <w:sz w:val="22"/>
        </w:rPr>
        <w:t>Lee</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Pr="003C5D7A" w:rsidRDefault="00193F10" w:rsidP="003C5D7A">
      <w:pPr>
        <w:spacing w:after="120"/>
        <w:jc w:val="center"/>
        <w:rPr>
          <w:b/>
          <w:sz w:val="22"/>
          <w:szCs w:val="22"/>
        </w:rPr>
      </w:pPr>
      <w:r w:rsidRPr="003C5D7A">
        <w:rPr>
          <w:b/>
          <w:sz w:val="22"/>
          <w:szCs w:val="22"/>
        </w:rPr>
        <w:t>PERMITTING</w:t>
      </w:r>
      <w:r w:rsidR="001D487F" w:rsidRPr="003C5D7A">
        <w:rPr>
          <w:b/>
          <w:sz w:val="22"/>
          <w:szCs w:val="22"/>
        </w:rPr>
        <w:t xml:space="preserve"> </w:t>
      </w:r>
      <w:r w:rsidRPr="003C5D7A">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w:t>
      </w:r>
      <w:r w:rsidR="00FF52D5">
        <w:rPr>
          <w:sz w:val="22"/>
          <w:szCs w:val="22"/>
        </w:rPr>
        <w:t xml:space="preserve"> S</w:t>
      </w:r>
      <w:r>
        <w:rPr>
          <w:sz w:val="22"/>
          <w:szCs w:val="22"/>
        </w:rPr>
        <w:t>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w:t>
        </w:r>
        <w:proofErr w:type="gramStart"/>
        <w:r>
          <w:rPr>
            <w:sz w:val="22"/>
            <w:szCs w:val="22"/>
          </w:rPr>
          <w:t xml:space="preserve">Florida  </w:t>
        </w:r>
        <w:smartTag w:uri="urn:schemas-microsoft-com:office:smarttags" w:element="PostalCode">
          <w:r>
            <w:rPr>
              <w:sz w:val="22"/>
              <w:szCs w:val="22"/>
            </w:rPr>
            <w:t>32399</w:t>
          </w:r>
          <w:proofErr w:type="gramEnd"/>
          <w:r>
            <w:rPr>
              <w:sz w:val="22"/>
              <w:szCs w:val="22"/>
            </w:rPr>
            <w:t>-2400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F507A4" w:rsidP="00194AA6">
      <w:pPr>
        <w:jc w:val="center"/>
        <w:rPr>
          <w:sz w:val="22"/>
        </w:rPr>
      </w:pPr>
      <w:r w:rsidRPr="00410073">
        <w:rPr>
          <w:sz w:val="22"/>
        </w:rPr>
        <w:t>April</w:t>
      </w:r>
      <w:r w:rsidR="00C91428" w:rsidRPr="00410073">
        <w:rPr>
          <w:sz w:val="22"/>
        </w:rPr>
        <w:t xml:space="preserve"> </w:t>
      </w:r>
      <w:r w:rsidR="00410073" w:rsidRPr="00410073">
        <w:rPr>
          <w:sz w:val="22"/>
        </w:rPr>
        <w:t>04</w:t>
      </w:r>
      <w:r w:rsidR="00C91428" w:rsidRPr="00410073">
        <w:rPr>
          <w:sz w:val="22"/>
        </w:rPr>
        <w:t>, 2017</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074E95" w:rsidRDefault="00193F10" w:rsidP="00410073">
      <w:pPr>
        <w:pStyle w:val="ListParagraph"/>
        <w:numPr>
          <w:ilvl w:val="0"/>
          <w:numId w:val="6"/>
        </w:numPr>
        <w:spacing w:after="120"/>
        <w:ind w:left="720" w:hanging="720"/>
        <w:contextualSpacing w:val="0"/>
        <w:rPr>
          <w:b/>
          <w:caps/>
          <w:sz w:val="22"/>
          <w:szCs w:val="22"/>
        </w:rPr>
      </w:pPr>
      <w:r w:rsidRPr="00074E95">
        <w:rPr>
          <w:b/>
          <w:caps/>
          <w:sz w:val="22"/>
          <w:szCs w:val="22"/>
        </w:rPr>
        <w:lastRenderedPageBreak/>
        <w:t>General Project INFORMATION</w:t>
      </w:r>
    </w:p>
    <w:p w:rsidR="00EE6112" w:rsidRPr="00074E95" w:rsidRDefault="00EE6112" w:rsidP="00074E95">
      <w:pPr>
        <w:pStyle w:val="ListParagraph"/>
        <w:numPr>
          <w:ilvl w:val="1"/>
          <w:numId w:val="6"/>
        </w:numPr>
        <w:spacing w:before="120" w:after="120"/>
        <w:ind w:left="720" w:hanging="720"/>
        <w:contextualSpacing w:val="0"/>
        <w:rPr>
          <w:b/>
          <w:bCs/>
          <w:sz w:val="22"/>
          <w:szCs w:val="22"/>
        </w:rPr>
      </w:pPr>
      <w:r w:rsidRPr="00074E95">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D262B1" w:rsidRDefault="00D262B1" w:rsidP="00074E95">
      <w:pPr>
        <w:pStyle w:val="ListParagraph"/>
        <w:numPr>
          <w:ilvl w:val="1"/>
          <w:numId w:val="6"/>
        </w:numPr>
        <w:spacing w:before="120" w:after="120"/>
        <w:ind w:left="720" w:hanging="720"/>
        <w:contextualSpacing w:val="0"/>
        <w:rPr>
          <w:b/>
          <w:sz w:val="22"/>
          <w:szCs w:val="22"/>
        </w:rPr>
      </w:pPr>
      <w:r w:rsidRPr="00D262B1">
        <w:rPr>
          <w:b/>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EC2EC6" w:rsidRDefault="00193F10" w:rsidP="00074E95">
      <w:pPr>
        <w:pStyle w:val="ListParagraph"/>
        <w:numPr>
          <w:ilvl w:val="1"/>
          <w:numId w:val="6"/>
        </w:numPr>
        <w:spacing w:before="120" w:after="120"/>
        <w:ind w:left="720" w:hanging="720"/>
        <w:contextualSpacing w:val="0"/>
        <w:rPr>
          <w:b/>
          <w:bCs/>
          <w:sz w:val="22"/>
          <w:szCs w:val="22"/>
        </w:rPr>
      </w:pPr>
      <w:r w:rsidRPr="00EC2EC6">
        <w:rPr>
          <w:b/>
          <w:bCs/>
          <w:sz w:val="22"/>
          <w:szCs w:val="22"/>
        </w:rPr>
        <w:t>Facility Description and Location</w:t>
      </w:r>
    </w:p>
    <w:p w:rsidR="00193F10" w:rsidRDefault="00EC2EC6" w:rsidP="004D1D9F">
      <w:pPr>
        <w:pStyle w:val="BodyText3"/>
        <w:numPr>
          <w:ilvl w:val="12"/>
          <w:numId w:val="0"/>
        </w:numPr>
        <w:spacing w:before="0"/>
      </w:pPr>
      <w:r w:rsidRPr="00EC2EC6">
        <w:t>The Lee County Resource Recovery Facility (RRF)</w:t>
      </w:r>
      <w:r w:rsidR="004D1D9F" w:rsidRPr="00EC2EC6">
        <w:t xml:space="preserve"> </w:t>
      </w:r>
      <w:r w:rsidR="00302267" w:rsidRPr="00EC2EC6">
        <w:t>is</w:t>
      </w:r>
      <w:r w:rsidRPr="00EC2EC6">
        <w:t xml:space="preserve"> an </w:t>
      </w:r>
      <w:r w:rsidR="004D1D9F" w:rsidRPr="00EC2EC6">
        <w:t>existing</w:t>
      </w:r>
      <w:r w:rsidR="001D1649" w:rsidRPr="00EC2EC6">
        <w:t xml:space="preserve"> </w:t>
      </w:r>
      <w:r w:rsidRPr="00EC2EC6">
        <w:t>municipal waste combustion facility</w:t>
      </w:r>
      <w:r w:rsidR="001D1649" w:rsidRPr="00EC2EC6">
        <w:t xml:space="preserve">, which is categorized under </w:t>
      </w:r>
      <w:r w:rsidR="001D1649" w:rsidRPr="00EC2EC6">
        <w:rPr>
          <w:bCs/>
        </w:rPr>
        <w:t xml:space="preserve">Standard Industrial Classification Code No. </w:t>
      </w:r>
      <w:r w:rsidRPr="00EC2EC6">
        <w:rPr>
          <w:bCs/>
        </w:rPr>
        <w:t>4953</w:t>
      </w:r>
      <w:r w:rsidR="001D1649" w:rsidRPr="00EC2EC6">
        <w:rPr>
          <w:bCs/>
        </w:rPr>
        <w:t xml:space="preserve">. </w:t>
      </w:r>
      <w:r w:rsidR="001C4E37" w:rsidRPr="00EC2EC6">
        <w:t xml:space="preserve"> </w:t>
      </w:r>
      <w:r w:rsidR="00302267" w:rsidRPr="00EC2EC6">
        <w:t>T</w:t>
      </w:r>
      <w:r w:rsidR="00302267" w:rsidRPr="00EC2EC6">
        <w:rPr>
          <w:szCs w:val="22"/>
        </w:rPr>
        <w:t xml:space="preserve">he existing </w:t>
      </w:r>
      <w:r w:rsidRPr="00EC2EC6">
        <w:rPr>
          <w:szCs w:val="22"/>
        </w:rPr>
        <w:t>Lee County RRF</w:t>
      </w:r>
      <w:r w:rsidR="00302267" w:rsidRPr="00EC2EC6">
        <w:rPr>
          <w:szCs w:val="22"/>
        </w:rPr>
        <w:t xml:space="preserve"> </w:t>
      </w:r>
      <w:r w:rsidR="00410073" w:rsidRPr="00EC2EC6">
        <w:rPr>
          <w:szCs w:val="22"/>
        </w:rPr>
        <w:t>is in</w:t>
      </w:r>
      <w:r w:rsidR="00302267" w:rsidRPr="00EC2EC6">
        <w:rPr>
          <w:szCs w:val="22"/>
        </w:rPr>
        <w:t xml:space="preserve"> </w:t>
      </w:r>
      <w:r w:rsidRPr="00EC2EC6">
        <w:rPr>
          <w:szCs w:val="22"/>
        </w:rPr>
        <w:t>Lee</w:t>
      </w:r>
      <w:r w:rsidR="00302267" w:rsidRPr="00EC2EC6">
        <w:rPr>
          <w:szCs w:val="22"/>
        </w:rPr>
        <w:t xml:space="preserve"> County at </w:t>
      </w:r>
      <w:r w:rsidRPr="00EC2EC6">
        <w:rPr>
          <w:szCs w:val="22"/>
        </w:rPr>
        <w:t>10500 Buckingham Road</w:t>
      </w:r>
      <w:r w:rsidR="00302267" w:rsidRPr="00EC2EC6">
        <w:rPr>
          <w:szCs w:val="22"/>
        </w:rPr>
        <w:t xml:space="preserve"> in </w:t>
      </w:r>
      <w:r w:rsidRPr="00EC2EC6">
        <w:rPr>
          <w:szCs w:val="22"/>
        </w:rPr>
        <w:t>Fort Myers</w:t>
      </w:r>
      <w:r w:rsidR="00302267" w:rsidRPr="00EC2EC6">
        <w:rPr>
          <w:szCs w:val="22"/>
        </w:rPr>
        <w:t>, Florida</w:t>
      </w:r>
      <w:r w:rsidR="00F71458" w:rsidRPr="00EC2EC6">
        <w:t xml:space="preserve">.  </w:t>
      </w:r>
      <w:r>
        <w:t xml:space="preserve">The location of Lee County is shown in </w:t>
      </w:r>
      <w:r w:rsidR="00074180" w:rsidRPr="00074180">
        <w:rPr>
          <w:b/>
          <w:color w:val="000000" w:themeColor="text1"/>
        </w:rPr>
        <w:fldChar w:fldCharType="begin"/>
      </w:r>
      <w:r w:rsidR="00074180" w:rsidRPr="00074180">
        <w:rPr>
          <w:b/>
          <w:color w:val="000000" w:themeColor="text1"/>
        </w:rPr>
        <w:instrText xml:space="preserve"> REF _Ref476148675 \h </w:instrText>
      </w:r>
      <w:r w:rsidR="00074180">
        <w:rPr>
          <w:b/>
          <w:color w:val="000000" w:themeColor="text1"/>
        </w:rPr>
        <w:instrText xml:space="preserve"> \* MERGEFORMAT </w:instrText>
      </w:r>
      <w:r w:rsidR="00074180" w:rsidRPr="00074180">
        <w:rPr>
          <w:b/>
          <w:color w:val="000000" w:themeColor="text1"/>
        </w:rPr>
      </w:r>
      <w:r w:rsidR="00074180" w:rsidRPr="00074180">
        <w:rPr>
          <w:b/>
          <w:color w:val="000000" w:themeColor="text1"/>
        </w:rPr>
        <w:fldChar w:fldCharType="separate"/>
      </w:r>
      <w:r w:rsidR="00074180" w:rsidRPr="00074180">
        <w:rPr>
          <w:rFonts w:ascii="Times New Roman Bold" w:hAnsi="Times New Roman Bold"/>
          <w:b/>
          <w:color w:val="000000" w:themeColor="text1"/>
        </w:rPr>
        <w:t xml:space="preserve">Figure </w:t>
      </w:r>
      <w:r w:rsidR="00074180" w:rsidRPr="00074180">
        <w:rPr>
          <w:rFonts w:ascii="Times New Roman Bold" w:hAnsi="Times New Roman Bold"/>
          <w:b/>
          <w:noProof/>
          <w:color w:val="000000" w:themeColor="text1"/>
        </w:rPr>
        <w:t>1</w:t>
      </w:r>
      <w:r w:rsidR="00074180" w:rsidRPr="00074180">
        <w:rPr>
          <w:b/>
          <w:color w:val="000000" w:themeColor="text1"/>
        </w:rPr>
        <w:fldChar w:fldCharType="end"/>
      </w:r>
      <w:r w:rsidRPr="00074180">
        <w:rPr>
          <w:color w:val="000000" w:themeColor="text1"/>
        </w:rPr>
        <w:t>,</w:t>
      </w:r>
      <w:r w:rsidRPr="00074180">
        <w:t xml:space="preserve"> </w:t>
      </w:r>
      <w:r>
        <w:t xml:space="preserve">and a map indicating the location of the facility is shown in </w:t>
      </w:r>
      <w:r w:rsidR="007879FA" w:rsidRPr="007879FA">
        <w:rPr>
          <w:b/>
          <w:color w:val="000000" w:themeColor="text1"/>
        </w:rPr>
        <w:fldChar w:fldCharType="begin"/>
      </w:r>
      <w:r w:rsidR="007879FA" w:rsidRPr="007879FA">
        <w:rPr>
          <w:b/>
          <w:color w:val="000000" w:themeColor="text1"/>
        </w:rPr>
        <w:instrText xml:space="preserve"> REF _Ref476149169 \h </w:instrText>
      </w:r>
      <w:r w:rsidR="007879FA">
        <w:rPr>
          <w:b/>
          <w:color w:val="000000" w:themeColor="text1"/>
        </w:rPr>
        <w:instrText xml:space="preserve"> \* MERGEFORMAT </w:instrText>
      </w:r>
      <w:r w:rsidR="007879FA" w:rsidRPr="007879FA">
        <w:rPr>
          <w:b/>
          <w:color w:val="000000" w:themeColor="text1"/>
        </w:rPr>
      </w:r>
      <w:r w:rsidR="007879FA" w:rsidRPr="007879FA">
        <w:rPr>
          <w:b/>
          <w:color w:val="000000" w:themeColor="text1"/>
        </w:rPr>
        <w:fldChar w:fldCharType="separate"/>
      </w:r>
      <w:r w:rsidR="007879FA" w:rsidRPr="007879FA">
        <w:rPr>
          <w:rFonts w:ascii="Times New Roman Bold" w:hAnsi="Times New Roman Bold"/>
          <w:b/>
          <w:color w:val="000000" w:themeColor="text1"/>
        </w:rPr>
        <w:t xml:space="preserve">Figure </w:t>
      </w:r>
      <w:r w:rsidR="007879FA" w:rsidRPr="007879FA">
        <w:rPr>
          <w:rFonts w:ascii="Times New Roman Bold" w:hAnsi="Times New Roman Bold"/>
          <w:b/>
          <w:noProof/>
          <w:color w:val="000000" w:themeColor="text1"/>
        </w:rPr>
        <w:t>2</w:t>
      </w:r>
      <w:r w:rsidR="007879FA" w:rsidRPr="007879FA">
        <w:rPr>
          <w:b/>
          <w:color w:val="000000" w:themeColor="text1"/>
        </w:rPr>
        <w:fldChar w:fldCharType="end"/>
      </w:r>
      <w:r>
        <w:t xml:space="preserve">.  </w:t>
      </w:r>
      <w:r w:rsidR="00193F10" w:rsidRPr="00EC2EC6">
        <w:t xml:space="preserve">The UTM coordinates </w:t>
      </w:r>
      <w:r w:rsidR="001D487F" w:rsidRPr="00EC2EC6">
        <w:t xml:space="preserve">of the </w:t>
      </w:r>
      <w:r w:rsidRPr="00EC2EC6">
        <w:t>existing</w:t>
      </w:r>
      <w:r w:rsidR="001D487F" w:rsidRPr="00EC2EC6">
        <w:t xml:space="preserve"> facility </w:t>
      </w:r>
      <w:r w:rsidR="00193F10" w:rsidRPr="00EC2EC6">
        <w:t xml:space="preserve">are Zone </w:t>
      </w:r>
      <w:r w:rsidRPr="00EC2EC6">
        <w:t>17</w:t>
      </w:r>
      <w:r w:rsidR="00193F10" w:rsidRPr="00EC2EC6">
        <w:t xml:space="preserve">, </w:t>
      </w:r>
      <w:r w:rsidRPr="00EC2EC6">
        <w:t>424.21</w:t>
      </w:r>
      <w:r w:rsidR="00193F10" w:rsidRPr="00EC2EC6">
        <w:t xml:space="preserve"> </w:t>
      </w:r>
      <w:r w:rsidR="001D66D6" w:rsidRPr="00EC2EC6">
        <w:t>kilometers (</w:t>
      </w:r>
      <w:r w:rsidR="00193F10" w:rsidRPr="00EC2EC6">
        <w:t>km</w:t>
      </w:r>
      <w:r w:rsidR="001D66D6" w:rsidRPr="00EC2EC6">
        <w:t>)</w:t>
      </w:r>
      <w:r w:rsidR="00193F10" w:rsidRPr="00EC2EC6">
        <w:t xml:space="preserve"> East, and </w:t>
      </w:r>
      <w:r w:rsidRPr="00EC2EC6">
        <w:t>2945.7</w:t>
      </w:r>
      <w:r w:rsidR="00193F10" w:rsidRPr="00EC2EC6">
        <w:t xml:space="preserve"> km North.  This site is in an area that is in attainment (or designated as unclassifiable) for all air</w:t>
      </w:r>
      <w:r w:rsidR="001D487F" w:rsidRPr="00EC2EC6">
        <w:t xml:space="preserve"> pollutants subject to </w:t>
      </w:r>
      <w:r w:rsidR="00193F10" w:rsidRPr="00EC2EC6">
        <w:t>Ambient Air Quality Standard</w:t>
      </w:r>
      <w:r w:rsidR="001D487F" w:rsidRPr="00EC2EC6">
        <w:t>s</w:t>
      </w:r>
      <w:r w:rsidR="00F71458" w:rsidRPr="00EC2EC6">
        <w:t xml:space="preserve"> (</w:t>
      </w:r>
      <w:r w:rsidR="00193F10" w:rsidRPr="00EC2EC6">
        <w:t>AAQS).</w:t>
      </w:r>
    </w:p>
    <w:p w:rsidR="00074180" w:rsidRDefault="00436487" w:rsidP="00074180">
      <w:pPr>
        <w:pStyle w:val="BodyText3"/>
        <w:keepNext/>
        <w:numPr>
          <w:ilvl w:val="12"/>
          <w:numId w:val="0"/>
        </w:numPr>
        <w:spacing w:before="0"/>
        <w:jc w:val="center"/>
      </w:pPr>
      <w:r w:rsidRPr="00074180">
        <w:rPr>
          <w:noProof/>
        </w:rPr>
        <mc:AlternateContent>
          <mc:Choice Requires="wps">
            <w:drawing>
              <wp:anchor distT="0" distB="0" distL="114300" distR="114300" simplePos="0" relativeHeight="251660288" behindDoc="0" locked="0" layoutInCell="1" allowOverlap="1" wp14:anchorId="47669E66" wp14:editId="46D797A8">
                <wp:simplePos x="0" y="0"/>
                <wp:positionH relativeFrom="column">
                  <wp:posOffset>2743199</wp:posOffset>
                </wp:positionH>
                <wp:positionV relativeFrom="paragraph">
                  <wp:posOffset>1966595</wp:posOffset>
                </wp:positionV>
                <wp:extent cx="1057275" cy="104775"/>
                <wp:effectExtent l="0" t="19050" r="66675" b="104775"/>
                <wp:wrapNone/>
                <wp:docPr id="7" name="Straight Arrow Connector 7"/>
                <wp:cNvGraphicFramePr/>
                <a:graphic xmlns:a="http://schemas.openxmlformats.org/drawingml/2006/main">
                  <a:graphicData uri="http://schemas.microsoft.com/office/word/2010/wordprocessingShape">
                    <wps:wsp>
                      <wps:cNvCnPr/>
                      <wps:spPr>
                        <a:xfrm>
                          <a:off x="0" y="0"/>
                          <a:ext cx="1057275" cy="104775"/>
                        </a:xfrm>
                        <a:prstGeom prst="straightConnector1">
                          <a:avLst/>
                        </a:prstGeom>
                        <a:noFill/>
                        <a:ln w="19050" cap="flat" cmpd="sng" algn="ctr">
                          <a:solidFill>
                            <a:schemeClr val="tx1"/>
                          </a:solidFill>
                          <a:prstDash val="solid"/>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type w14:anchorId="3B6212FF" id="_x0000_t32" coordsize="21600,21600" o:spt="32" o:oned="t" path="m,l21600,21600e" filled="f">
                <v:path arrowok="t" fillok="f" o:connecttype="none"/>
                <o:lock v:ext="edit" shapetype="t"/>
              </v:shapetype>
              <v:shape id="Straight Arrow Connector 7" o:spid="_x0000_s1026" type="#_x0000_t32" style="position:absolute;margin-left:3in;margin-top:154.85pt;width:83.2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" strokecolor="black [3213]" strokeweight="1.5pt">
                <v:stroke endarrow="block" endarrowwidth="wide" endarrowlength="long"/>
              </v:shape>
            </w:pict>
          </mc:Fallback>
        </mc:AlternateContent>
      </w:r>
      <w:r w:rsidRPr="00074180">
        <w:rPr>
          <w:noProof/>
        </w:rPr>
        <mc:AlternateContent>
          <mc:Choice Requires="wps">
            <w:drawing>
              <wp:anchor distT="0" distB="0" distL="114300" distR="114300" simplePos="0" relativeHeight="251659264" behindDoc="0" locked="0" layoutInCell="1" allowOverlap="1" wp14:anchorId="6383C1D7" wp14:editId="50B052E9">
                <wp:simplePos x="0" y="0"/>
                <wp:positionH relativeFrom="column">
                  <wp:posOffset>2047875</wp:posOffset>
                </wp:positionH>
                <wp:positionV relativeFrom="paragraph">
                  <wp:posOffset>1725295</wp:posOffset>
                </wp:positionV>
                <wp:extent cx="800100" cy="476250"/>
                <wp:effectExtent l="0" t="0" r="0" b="0"/>
                <wp:wrapNone/>
                <wp:docPr id="6" name="Text Box 6"/>
                <wp:cNvGraphicFramePr/>
                <a:graphic xmlns:a="http://schemas.openxmlformats.org/drawingml/2006/main">
                  <a:graphicData uri="http://schemas.microsoft.com/office/word/2010/wordprocessingShape">
                    <wps:wsp>
                      <wps:cNvSpPr txBox="1"/>
                      <wps:spPr>
                        <a:xfrm>
                          <a:off x="0" y="0"/>
                          <a:ext cx="800100" cy="476250"/>
                        </a:xfrm>
                        <a:prstGeom prst="rect">
                          <a:avLst/>
                        </a:prstGeom>
                        <a:solidFill>
                          <a:sysClr val="window" lastClr="FFFFFF"/>
                        </a:solidFill>
                        <a:ln w="6350">
                          <a:noFill/>
                        </a:ln>
                      </wps:spPr>
                      <wps:txbx>
                        <w:txbxContent>
                          <w:p w:rsidR="00074180" w:rsidRPr="00843385" w:rsidRDefault="00074180" w:rsidP="00074180">
                            <w:pPr>
                              <w:jc w:val="center"/>
                              <w:rPr>
                                <w:b/>
                                <w:color w:val="000000" w:themeColor="text1"/>
                                <w:sz w:val="22"/>
                                <w:szCs w:val="22"/>
                              </w:rPr>
                            </w:pPr>
                            <w:r>
                              <w:rPr>
                                <w:b/>
                                <w:color w:val="000000" w:themeColor="text1"/>
                                <w:sz w:val="22"/>
                                <w:szCs w:val="22"/>
                              </w:rPr>
                              <w:t xml:space="preserve">Lee </w:t>
                            </w:r>
                            <w:r w:rsidRPr="00843385">
                              <w:rPr>
                                <w:b/>
                                <w:color w:val="000000" w:themeColor="text1"/>
                                <w:sz w:val="22"/>
                                <w:szCs w:val="22"/>
                              </w:rPr>
                              <w:t>County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83C1D7" id="_x0000_t202" coordsize="21600,21600" o:spt="202" path="m,l,21600r21600,l21600,xe">
                <v:stroke joinstyle="miter"/>
                <v:path gradientshapeok="t" o:connecttype="rect"/>
              </v:shapetype>
              <v:shape id="Text Box 6" o:spid="_x0000_s1026" type="#_x0000_t202" style="position:absolute;left:0;text-align:left;margin-left:161.25pt;margin-top:135.85pt;width:63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" fillcolor="window" stroked="f" strokeweight=".5pt">
                <v:textbox>
                  <w:txbxContent>
                    <w:p w:rsidR="00074180" w:rsidRPr="00843385" w:rsidRDefault="00074180" w:rsidP="00074180">
                      <w:pPr>
                        <w:jc w:val="center"/>
                        <w:rPr>
                          <w:b/>
                          <w:color w:val="000000" w:themeColor="text1"/>
                          <w:sz w:val="22"/>
                          <w:szCs w:val="22"/>
                        </w:rPr>
                      </w:pPr>
                      <w:r>
                        <w:rPr>
                          <w:b/>
                          <w:color w:val="000000" w:themeColor="text1"/>
                          <w:sz w:val="22"/>
                          <w:szCs w:val="22"/>
                        </w:rPr>
                        <w:t xml:space="preserve">Lee </w:t>
                      </w:r>
                      <w:r w:rsidRPr="00843385">
                        <w:rPr>
                          <w:b/>
                          <w:color w:val="000000" w:themeColor="text1"/>
                          <w:sz w:val="22"/>
                          <w:szCs w:val="22"/>
                        </w:rPr>
                        <w:t>County</w:t>
                      </w:r>
                    </w:p>
                  </w:txbxContent>
                </v:textbox>
              </v:shape>
            </w:pict>
          </mc:Fallback>
        </mc:AlternateContent>
      </w:r>
      <w:r w:rsidR="0041007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233.55pt" o:bordertopcolor="this" o:borderleftcolor="this" o:borderbottomcolor="this" o:borderrightcolor="this">
            <v:imagedata r:id="rId9" o:title="Lee County map"/>
            <w10:bordertop type="single" width="8"/>
            <w10:borderleft type="single" width="8"/>
            <w10:borderbottom type="single" width="8"/>
            <w10:borderright type="single" width="8"/>
          </v:shape>
        </w:pict>
      </w:r>
    </w:p>
    <w:p w:rsidR="00EC2EC6" w:rsidRPr="00074180" w:rsidRDefault="00074180" w:rsidP="00074180">
      <w:pPr>
        <w:pStyle w:val="Caption"/>
        <w:jc w:val="center"/>
        <w:rPr>
          <w:rFonts w:ascii="Times New Roman Bold" w:hAnsi="Times New Roman Bold"/>
          <w:b/>
          <w:i w:val="0"/>
          <w:color w:val="000000" w:themeColor="text1"/>
          <w:sz w:val="22"/>
        </w:rPr>
      </w:pPr>
      <w:bookmarkStart w:id="0" w:name="_Ref476148675"/>
      <w:r w:rsidRPr="00074180">
        <w:rPr>
          <w:rFonts w:ascii="Times New Roman Bold" w:hAnsi="Times New Roman Bold"/>
          <w:b/>
          <w:i w:val="0"/>
          <w:color w:val="000000" w:themeColor="text1"/>
          <w:sz w:val="22"/>
        </w:rPr>
        <w:t xml:space="preserve">Figure </w:t>
      </w:r>
      <w:r w:rsidRPr="00074180">
        <w:rPr>
          <w:rFonts w:ascii="Times New Roman Bold" w:hAnsi="Times New Roman Bold"/>
          <w:b/>
          <w:i w:val="0"/>
          <w:color w:val="000000" w:themeColor="text1"/>
          <w:sz w:val="22"/>
        </w:rPr>
        <w:fldChar w:fldCharType="begin"/>
      </w:r>
      <w:r w:rsidRPr="00074180">
        <w:rPr>
          <w:rFonts w:ascii="Times New Roman Bold" w:hAnsi="Times New Roman Bold"/>
          <w:b/>
          <w:i w:val="0"/>
          <w:color w:val="000000" w:themeColor="text1"/>
          <w:sz w:val="22"/>
        </w:rPr>
        <w:instrText xml:space="preserve"> SEQ Figure \* ARABIC </w:instrText>
      </w:r>
      <w:r w:rsidRPr="00074180">
        <w:rPr>
          <w:rFonts w:ascii="Times New Roman Bold" w:hAnsi="Times New Roman Bold"/>
          <w:b/>
          <w:i w:val="0"/>
          <w:color w:val="000000" w:themeColor="text1"/>
          <w:sz w:val="22"/>
        </w:rPr>
        <w:fldChar w:fldCharType="separate"/>
      </w:r>
      <w:r w:rsidR="006D3CA8">
        <w:rPr>
          <w:rFonts w:ascii="Times New Roman Bold" w:hAnsi="Times New Roman Bold"/>
          <w:b/>
          <w:i w:val="0"/>
          <w:noProof/>
          <w:color w:val="000000" w:themeColor="text1"/>
          <w:sz w:val="22"/>
        </w:rPr>
        <w:t>1</w:t>
      </w:r>
      <w:r w:rsidRPr="00074180">
        <w:rPr>
          <w:rFonts w:ascii="Times New Roman Bold" w:hAnsi="Times New Roman Bold"/>
          <w:b/>
          <w:i w:val="0"/>
          <w:color w:val="000000" w:themeColor="text1"/>
          <w:sz w:val="22"/>
        </w:rPr>
        <w:fldChar w:fldCharType="end"/>
      </w:r>
      <w:bookmarkEnd w:id="0"/>
      <w:r w:rsidRPr="00074180">
        <w:rPr>
          <w:rFonts w:ascii="Times New Roman Bold" w:hAnsi="Times New Roman Bold"/>
          <w:b/>
          <w:i w:val="0"/>
          <w:color w:val="000000" w:themeColor="text1"/>
          <w:sz w:val="22"/>
        </w:rPr>
        <w:t>.  Location of Lee County, Florida.</w:t>
      </w:r>
    </w:p>
    <w:p w:rsidR="00074180" w:rsidRDefault="00074180" w:rsidP="00074180">
      <w:pPr>
        <w:pStyle w:val="BodyText"/>
        <w:keepNext/>
        <w:numPr>
          <w:ilvl w:val="12"/>
          <w:numId w:val="0"/>
        </w:numPr>
        <w:jc w:val="center"/>
      </w:pPr>
      <w:r>
        <w:rPr>
          <w:b/>
          <w:bCs/>
          <w:noProof/>
          <w:sz w:val="22"/>
          <w:szCs w:val="22"/>
        </w:rPr>
        <w:lastRenderedPageBreak/>
        <mc:AlternateContent>
          <mc:Choice Requires="wps">
            <w:drawing>
              <wp:anchor distT="0" distB="0" distL="114300" distR="114300" simplePos="0" relativeHeight="251661312" behindDoc="0" locked="0" layoutInCell="1" allowOverlap="1">
                <wp:simplePos x="0" y="0"/>
                <wp:positionH relativeFrom="column">
                  <wp:posOffset>4905375</wp:posOffset>
                </wp:positionH>
                <wp:positionV relativeFrom="paragraph">
                  <wp:posOffset>2798445</wp:posOffset>
                </wp:positionV>
                <wp:extent cx="152400" cy="104775"/>
                <wp:effectExtent l="38100" t="19050" r="38100" b="47625"/>
                <wp:wrapNone/>
                <wp:docPr id="8" name="Star: 5 Points 8"/>
                <wp:cNvGraphicFramePr/>
                <a:graphic xmlns:a="http://schemas.openxmlformats.org/drawingml/2006/main">
                  <a:graphicData uri="http://schemas.microsoft.com/office/word/2010/wordprocessingShape">
                    <wps:wsp>
                      <wps:cNvSpPr/>
                      <wps:spPr>
                        <a:xfrm>
                          <a:off x="0" y="0"/>
                          <a:ext cx="152400" cy="104775"/>
                        </a:xfrm>
                        <a:prstGeom prst="star5">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43EFF4" id="Star: 5 Points 8" o:spid="_x0000_s1026" style="position:absolute;margin-left:386.25pt;margin-top:220.35pt;width:12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2400,10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" path="m,40020r58212,1l76200,,94188,40021r58212,-1l105305,64754r17989,40021l76200,80040,29106,104775,47095,64754,,40020xe" fillcolor="red" strokecolor="red" strokeweight="2pt">
                <v:path arrowok="t" o:connecttype="custom" o:connectlocs="0,40020;58212,40021;76200,0;94188,40021;152400,40020;105305,64754;123294,104775;76200,80040;29106,104775;47095,64754;0,40020" o:connectangles="0,0,0,0,0,0,0,0,0,0,0"/>
              </v:shape>
            </w:pict>
          </mc:Fallback>
        </mc:AlternateContent>
      </w:r>
      <w:r w:rsidRPr="00074180">
        <w:rPr>
          <w:b/>
          <w:bCs/>
          <w:noProof/>
          <w:sz w:val="22"/>
          <w:szCs w:val="22"/>
        </w:rPr>
        <w:drawing>
          <wp:inline distT="0" distB="0" distL="0" distR="0">
            <wp:extent cx="6400800" cy="3832814"/>
            <wp:effectExtent l="19050" t="19050" r="1905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0800" cy="3832814"/>
                    </a:xfrm>
                    <a:prstGeom prst="rect">
                      <a:avLst/>
                    </a:prstGeom>
                    <a:noFill/>
                    <a:ln w="12700">
                      <a:solidFill>
                        <a:schemeClr val="tx1"/>
                      </a:solidFill>
                    </a:ln>
                  </pic:spPr>
                </pic:pic>
              </a:graphicData>
            </a:graphic>
          </wp:inline>
        </w:drawing>
      </w:r>
    </w:p>
    <w:p w:rsidR="00074180" w:rsidRPr="00074180" w:rsidRDefault="00074180" w:rsidP="00074180">
      <w:pPr>
        <w:pStyle w:val="Caption"/>
        <w:jc w:val="center"/>
        <w:rPr>
          <w:rFonts w:ascii="Times New Roman Bold" w:hAnsi="Times New Roman Bold"/>
          <w:b/>
          <w:bCs/>
          <w:i w:val="0"/>
          <w:color w:val="000000" w:themeColor="text1"/>
          <w:sz w:val="22"/>
          <w:szCs w:val="22"/>
        </w:rPr>
      </w:pPr>
      <w:bookmarkStart w:id="1" w:name="_Ref476149169"/>
      <w:r w:rsidRPr="00074180">
        <w:rPr>
          <w:rFonts w:ascii="Times New Roman Bold" w:hAnsi="Times New Roman Bold"/>
          <w:b/>
          <w:i w:val="0"/>
          <w:color w:val="000000" w:themeColor="text1"/>
          <w:sz w:val="22"/>
        </w:rPr>
        <w:t xml:space="preserve">Figure </w:t>
      </w:r>
      <w:r w:rsidRPr="00074180">
        <w:rPr>
          <w:rFonts w:ascii="Times New Roman Bold" w:hAnsi="Times New Roman Bold"/>
          <w:b/>
          <w:i w:val="0"/>
          <w:color w:val="000000" w:themeColor="text1"/>
          <w:sz w:val="22"/>
        </w:rPr>
        <w:fldChar w:fldCharType="begin"/>
      </w:r>
      <w:r w:rsidRPr="00074180">
        <w:rPr>
          <w:rFonts w:ascii="Times New Roman Bold" w:hAnsi="Times New Roman Bold"/>
          <w:b/>
          <w:i w:val="0"/>
          <w:color w:val="000000" w:themeColor="text1"/>
          <w:sz w:val="22"/>
        </w:rPr>
        <w:instrText xml:space="preserve"> SEQ Figure \* ARABIC </w:instrText>
      </w:r>
      <w:r w:rsidRPr="00074180">
        <w:rPr>
          <w:rFonts w:ascii="Times New Roman Bold" w:hAnsi="Times New Roman Bold"/>
          <w:b/>
          <w:i w:val="0"/>
          <w:color w:val="000000" w:themeColor="text1"/>
          <w:sz w:val="22"/>
        </w:rPr>
        <w:fldChar w:fldCharType="separate"/>
      </w:r>
      <w:r w:rsidR="006D3CA8">
        <w:rPr>
          <w:rFonts w:ascii="Times New Roman Bold" w:hAnsi="Times New Roman Bold"/>
          <w:b/>
          <w:i w:val="0"/>
          <w:noProof/>
          <w:color w:val="000000" w:themeColor="text1"/>
          <w:sz w:val="22"/>
        </w:rPr>
        <w:t>2</w:t>
      </w:r>
      <w:r w:rsidRPr="00074180">
        <w:rPr>
          <w:rFonts w:ascii="Times New Roman Bold" w:hAnsi="Times New Roman Bold"/>
          <w:b/>
          <w:i w:val="0"/>
          <w:color w:val="000000" w:themeColor="text1"/>
          <w:sz w:val="22"/>
        </w:rPr>
        <w:fldChar w:fldCharType="end"/>
      </w:r>
      <w:bookmarkEnd w:id="1"/>
      <w:r w:rsidRPr="00074180">
        <w:rPr>
          <w:rFonts w:ascii="Times New Roman Bold" w:hAnsi="Times New Roman Bold"/>
          <w:b/>
          <w:i w:val="0"/>
          <w:color w:val="000000" w:themeColor="text1"/>
          <w:sz w:val="22"/>
        </w:rPr>
        <w:t>.  Location of Lee County RRF, indicated with a red star.</w:t>
      </w:r>
    </w:p>
    <w:p w:rsidR="00036FEF" w:rsidRDefault="00036FEF" w:rsidP="003C5D7A">
      <w:pPr>
        <w:pStyle w:val="BodyText"/>
        <w:numPr>
          <w:ilvl w:val="12"/>
          <w:numId w:val="0"/>
        </w:numPr>
        <w:rPr>
          <w:bCs/>
          <w:sz w:val="22"/>
          <w:szCs w:val="22"/>
        </w:rPr>
      </w:pPr>
      <w:r w:rsidRPr="00036FEF">
        <w:rPr>
          <w:bCs/>
          <w:sz w:val="22"/>
          <w:szCs w:val="22"/>
        </w:rPr>
        <w:t>The facility consists of three municipal waste combustion</w:t>
      </w:r>
      <w:r>
        <w:rPr>
          <w:bCs/>
          <w:sz w:val="22"/>
          <w:szCs w:val="22"/>
        </w:rPr>
        <w:t xml:space="preserve"> (MWC)</w:t>
      </w:r>
      <w:r w:rsidRPr="00036FEF">
        <w:rPr>
          <w:bCs/>
          <w:sz w:val="22"/>
          <w:szCs w:val="22"/>
        </w:rPr>
        <w:t xml:space="preserve"> units, an ash handling system, and several small emergency engines.</w:t>
      </w:r>
      <w:r>
        <w:rPr>
          <w:bCs/>
          <w:sz w:val="22"/>
          <w:szCs w:val="22"/>
        </w:rPr>
        <w:t xml:space="preserve">  MWC Units 1 and 2 beg</w:t>
      </w:r>
      <w:r w:rsidR="004B084A">
        <w:rPr>
          <w:bCs/>
          <w:sz w:val="22"/>
          <w:szCs w:val="22"/>
        </w:rPr>
        <w:t>an commercial operation in 1994, and MWC Unit 3 began operation in 2007.  The three units combined can produce up to 60 megawatts of electricity.</w:t>
      </w:r>
    </w:p>
    <w:p w:rsidR="004B084A" w:rsidRDefault="004B084A" w:rsidP="003C5D7A">
      <w:pPr>
        <w:pStyle w:val="BodyText"/>
        <w:numPr>
          <w:ilvl w:val="12"/>
          <w:numId w:val="0"/>
        </w:numPr>
        <w:rPr>
          <w:bCs/>
          <w:sz w:val="22"/>
          <w:szCs w:val="22"/>
        </w:rPr>
      </w:pPr>
      <w:r>
        <w:rPr>
          <w:bCs/>
          <w:sz w:val="22"/>
          <w:szCs w:val="22"/>
        </w:rPr>
        <w:t xml:space="preserve">Units 1 and 2 each have a nominal design rated capacity of 660 tons of municipal solid waste (MSW) per day </w:t>
      </w:r>
      <w:r w:rsidRPr="004B084A">
        <w:rPr>
          <w:bCs/>
          <w:sz w:val="22"/>
          <w:szCs w:val="22"/>
        </w:rPr>
        <w:t>and 186,200 lbs/hour steam production with MSW having a heating value of 5,000 Btu/lb.  Short term capacity is restricted by limiting steam production to 186,200 lbs/hour, which effectively limits heat input.</w:t>
      </w:r>
      <w:r>
        <w:rPr>
          <w:bCs/>
          <w:sz w:val="22"/>
          <w:szCs w:val="22"/>
        </w:rPr>
        <w:t xml:space="preserve">  </w:t>
      </w:r>
      <w:r w:rsidRPr="004B084A">
        <w:rPr>
          <w:bCs/>
          <w:sz w:val="22"/>
          <w:szCs w:val="22"/>
        </w:rPr>
        <w:t>Odor is controlled by drawing combustion air from the refuse tipping floor area.  Spray dry absorbers and baghouses are used for the control of acid gases and particulate matter, selective non-catalytic reduction (SNCR) systems for the control of nitrogen oxides (NOx), and activated carbon injection (ACI) systems for the control of mercury (Hg) and certain organic emissions.  Activated carbon is injected into the flue gases prior to the baghouses to control Hg emissions.  Captured dry ash particles fall into hoppers and are transported by an enclosed conveyor system to the bottom ash discharger where they are wetted to prevent dust, and mixed with the bottom ash.</w:t>
      </w:r>
    </w:p>
    <w:p w:rsidR="004B084A" w:rsidRDefault="004B084A" w:rsidP="003C5D7A">
      <w:pPr>
        <w:pStyle w:val="BodyText"/>
        <w:numPr>
          <w:ilvl w:val="12"/>
          <w:numId w:val="0"/>
        </w:numPr>
        <w:rPr>
          <w:bCs/>
          <w:sz w:val="22"/>
          <w:szCs w:val="22"/>
        </w:rPr>
      </w:pPr>
      <w:r>
        <w:rPr>
          <w:bCs/>
          <w:sz w:val="22"/>
          <w:szCs w:val="22"/>
        </w:rPr>
        <w:t xml:space="preserve">Unit 3 has similar characteristics to Units 1 and 2.  Unit 3 </w:t>
      </w:r>
      <w:r w:rsidRPr="004B084A">
        <w:rPr>
          <w:bCs/>
          <w:sz w:val="22"/>
          <w:szCs w:val="22"/>
        </w:rPr>
        <w:t>has a nominal design rated capacity of 660 tons MSW per day and 197,400 lbs/hour steam production with MSW having a heating value of 5,000 Btu/lb.  Short term capacity is restricted by limiting steam production to 197,400 lbs/hour, which effectively limits heat input.</w:t>
      </w:r>
      <w:r w:rsidR="006D3CA8">
        <w:rPr>
          <w:bCs/>
          <w:sz w:val="22"/>
          <w:szCs w:val="22"/>
        </w:rPr>
        <w:t xml:space="preserve">  The pollution controls on Unit 3 are very </w:t>
      </w:r>
      <w:proofErr w:type="gramStart"/>
      <w:r w:rsidR="006D3CA8">
        <w:rPr>
          <w:bCs/>
          <w:sz w:val="22"/>
          <w:szCs w:val="22"/>
        </w:rPr>
        <w:t>similar to</w:t>
      </w:r>
      <w:proofErr w:type="gramEnd"/>
      <w:r w:rsidR="006D3CA8">
        <w:rPr>
          <w:bCs/>
          <w:sz w:val="22"/>
          <w:szCs w:val="22"/>
        </w:rPr>
        <w:t xml:space="preserve"> those on Units 1 and 2, though Unit 3 is also equipped with an option flue gas recirculation system for the control of NOx.</w:t>
      </w:r>
    </w:p>
    <w:p w:rsidR="006D3CA8" w:rsidRPr="00036FEF" w:rsidRDefault="006D3CA8" w:rsidP="003C5D7A">
      <w:pPr>
        <w:pStyle w:val="BodyText"/>
        <w:numPr>
          <w:ilvl w:val="12"/>
          <w:numId w:val="0"/>
        </w:numPr>
        <w:rPr>
          <w:bCs/>
          <w:sz w:val="22"/>
          <w:szCs w:val="22"/>
        </w:rPr>
      </w:pPr>
      <w:r>
        <w:rPr>
          <w:bCs/>
          <w:sz w:val="22"/>
          <w:szCs w:val="22"/>
        </w:rPr>
        <w:t xml:space="preserve">A photo of the facility, from the Lee County Solid Waste Division’s website, is shown in </w:t>
      </w:r>
      <w:r w:rsidRPr="006D3CA8">
        <w:rPr>
          <w:b/>
          <w:bCs/>
          <w:sz w:val="22"/>
          <w:szCs w:val="22"/>
        </w:rPr>
        <w:fldChar w:fldCharType="begin"/>
      </w:r>
      <w:r w:rsidRPr="006D3CA8">
        <w:rPr>
          <w:b/>
          <w:bCs/>
          <w:sz w:val="22"/>
          <w:szCs w:val="22"/>
        </w:rPr>
        <w:instrText xml:space="preserve"> REF _Ref476213440 \h </w:instrText>
      </w:r>
      <w:r>
        <w:rPr>
          <w:b/>
          <w:bCs/>
          <w:sz w:val="22"/>
          <w:szCs w:val="22"/>
        </w:rPr>
        <w:instrText xml:space="preserve"> \* MERGEFORMAT </w:instrText>
      </w:r>
      <w:r w:rsidRPr="006D3CA8">
        <w:rPr>
          <w:b/>
          <w:bCs/>
          <w:sz w:val="22"/>
          <w:szCs w:val="22"/>
        </w:rPr>
      </w:r>
      <w:r w:rsidRPr="006D3CA8">
        <w:rPr>
          <w:b/>
          <w:bCs/>
          <w:sz w:val="22"/>
          <w:szCs w:val="22"/>
        </w:rPr>
        <w:fldChar w:fldCharType="separate"/>
      </w:r>
      <w:r w:rsidRPr="006D3CA8">
        <w:rPr>
          <w:rFonts w:ascii="Times New Roman Bold" w:hAnsi="Times New Roman Bold"/>
          <w:b/>
          <w:color w:val="000000" w:themeColor="text1"/>
          <w:sz w:val="22"/>
        </w:rPr>
        <w:t xml:space="preserve">Figure </w:t>
      </w:r>
      <w:r w:rsidRPr="006D3CA8">
        <w:rPr>
          <w:rFonts w:ascii="Times New Roman Bold" w:hAnsi="Times New Roman Bold"/>
          <w:b/>
          <w:noProof/>
          <w:color w:val="000000" w:themeColor="text1"/>
          <w:sz w:val="22"/>
        </w:rPr>
        <w:t>3</w:t>
      </w:r>
      <w:r w:rsidRPr="006D3CA8">
        <w:rPr>
          <w:b/>
          <w:bCs/>
          <w:sz w:val="22"/>
          <w:szCs w:val="22"/>
        </w:rPr>
        <w:fldChar w:fldCharType="end"/>
      </w:r>
      <w:r>
        <w:rPr>
          <w:bCs/>
          <w:sz w:val="22"/>
          <w:szCs w:val="22"/>
        </w:rPr>
        <w:t>.  The stack shown in this figure includes three separate flues, one for each MWC unit.</w:t>
      </w:r>
    </w:p>
    <w:p w:rsidR="00193F10" w:rsidRPr="003C5D7A" w:rsidRDefault="001C4E37" w:rsidP="006D3CA8">
      <w:pPr>
        <w:pStyle w:val="ListParagraph"/>
        <w:numPr>
          <w:ilvl w:val="1"/>
          <w:numId w:val="6"/>
        </w:numPr>
        <w:spacing w:before="120" w:after="120"/>
        <w:ind w:left="720" w:hanging="720"/>
        <w:contextualSpacing w:val="0"/>
        <w:rPr>
          <w:b/>
          <w:bCs/>
          <w:sz w:val="22"/>
          <w:szCs w:val="22"/>
        </w:rPr>
      </w:pPr>
      <w:r w:rsidRPr="003C5D7A">
        <w:rPr>
          <w:b/>
          <w:bCs/>
          <w:sz w:val="22"/>
          <w:szCs w:val="22"/>
        </w:rPr>
        <w:t xml:space="preserve">Facility </w:t>
      </w:r>
      <w:r w:rsidR="00193F10" w:rsidRPr="003C5D7A">
        <w:rPr>
          <w:b/>
          <w:bCs/>
          <w:sz w:val="22"/>
          <w:szCs w:val="22"/>
        </w:rPr>
        <w:t>Regulatory Categories</w:t>
      </w:r>
    </w:p>
    <w:p w:rsidR="00F71458" w:rsidRPr="00436487" w:rsidRDefault="00F71458" w:rsidP="00F71458">
      <w:pPr>
        <w:numPr>
          <w:ilvl w:val="0"/>
          <w:numId w:val="3"/>
        </w:numPr>
        <w:spacing w:after="120"/>
        <w:rPr>
          <w:sz w:val="22"/>
          <w:szCs w:val="22"/>
        </w:rPr>
      </w:pPr>
      <w:r w:rsidRPr="00436487">
        <w:rPr>
          <w:sz w:val="22"/>
          <w:szCs w:val="22"/>
        </w:rPr>
        <w:t xml:space="preserve">The facility </w:t>
      </w:r>
      <w:r w:rsidR="00022693" w:rsidRPr="00436487">
        <w:rPr>
          <w:sz w:val="22"/>
          <w:szCs w:val="22"/>
        </w:rPr>
        <w:t>is</w:t>
      </w:r>
      <w:r w:rsidRPr="00436487">
        <w:rPr>
          <w:sz w:val="22"/>
          <w:szCs w:val="22"/>
        </w:rPr>
        <w:t xml:space="preserve"> a major source of hazardous air pollutants (HAP).</w:t>
      </w:r>
    </w:p>
    <w:p w:rsidR="00F71458" w:rsidRPr="00436487" w:rsidRDefault="00F71458" w:rsidP="00F71458">
      <w:pPr>
        <w:pStyle w:val="BodyText"/>
        <w:numPr>
          <w:ilvl w:val="0"/>
          <w:numId w:val="3"/>
        </w:numPr>
        <w:rPr>
          <w:sz w:val="22"/>
          <w:szCs w:val="22"/>
        </w:rPr>
      </w:pPr>
      <w:r w:rsidRPr="00436487">
        <w:rPr>
          <w:sz w:val="22"/>
          <w:szCs w:val="22"/>
        </w:rPr>
        <w:lastRenderedPageBreak/>
        <w:t xml:space="preserve">The facility </w:t>
      </w:r>
      <w:r w:rsidR="00302267" w:rsidRPr="00436487">
        <w:rPr>
          <w:sz w:val="22"/>
          <w:szCs w:val="22"/>
        </w:rPr>
        <w:t xml:space="preserve">does not operate </w:t>
      </w:r>
      <w:proofErr w:type="gramStart"/>
      <w:r w:rsidRPr="00436487">
        <w:rPr>
          <w:sz w:val="22"/>
          <w:szCs w:val="22"/>
        </w:rPr>
        <w:t>units</w:t>
      </w:r>
      <w:proofErr w:type="gramEnd"/>
      <w:r w:rsidRPr="00436487">
        <w:rPr>
          <w:sz w:val="22"/>
          <w:szCs w:val="22"/>
        </w:rPr>
        <w:t xml:space="preserve"> subject to the acid rain provisions of the Clean Air Act.</w:t>
      </w:r>
    </w:p>
    <w:p w:rsidR="00F71458" w:rsidRPr="00436487" w:rsidRDefault="00F71458" w:rsidP="00F71458">
      <w:pPr>
        <w:numPr>
          <w:ilvl w:val="0"/>
          <w:numId w:val="3"/>
        </w:numPr>
        <w:spacing w:after="120"/>
        <w:rPr>
          <w:sz w:val="22"/>
          <w:szCs w:val="22"/>
        </w:rPr>
      </w:pPr>
      <w:r w:rsidRPr="00436487">
        <w:rPr>
          <w:sz w:val="22"/>
          <w:szCs w:val="22"/>
        </w:rPr>
        <w:t xml:space="preserve">The facility </w:t>
      </w:r>
      <w:r w:rsidR="00436487" w:rsidRPr="00436487">
        <w:rPr>
          <w:sz w:val="22"/>
          <w:szCs w:val="22"/>
        </w:rPr>
        <w:t>is</w:t>
      </w:r>
      <w:r w:rsidRPr="00436487">
        <w:rPr>
          <w:sz w:val="22"/>
          <w:szCs w:val="22"/>
        </w:rPr>
        <w:t xml:space="preserve"> a Title V major source of air pollution in accordance with Chapter </w:t>
      </w:r>
      <w:r w:rsidR="009F6095" w:rsidRPr="00436487">
        <w:rPr>
          <w:sz w:val="22"/>
          <w:szCs w:val="22"/>
        </w:rPr>
        <w:t>62-</w:t>
      </w:r>
      <w:r w:rsidRPr="00436487">
        <w:rPr>
          <w:sz w:val="22"/>
          <w:szCs w:val="22"/>
        </w:rPr>
        <w:t>213, F.A.C.</w:t>
      </w:r>
    </w:p>
    <w:p w:rsidR="00F71458" w:rsidRDefault="00F71458" w:rsidP="00F71458">
      <w:pPr>
        <w:numPr>
          <w:ilvl w:val="0"/>
          <w:numId w:val="3"/>
        </w:numPr>
        <w:spacing w:after="120"/>
        <w:rPr>
          <w:sz w:val="22"/>
          <w:szCs w:val="22"/>
        </w:rPr>
      </w:pPr>
      <w:r w:rsidRPr="00436487">
        <w:rPr>
          <w:sz w:val="22"/>
          <w:szCs w:val="22"/>
        </w:rPr>
        <w:t xml:space="preserve">The facility </w:t>
      </w:r>
      <w:r w:rsidR="00436487" w:rsidRPr="00436487">
        <w:rPr>
          <w:sz w:val="22"/>
          <w:szCs w:val="22"/>
        </w:rPr>
        <w:t>is</w:t>
      </w:r>
      <w:r w:rsidRPr="00436487">
        <w:rPr>
          <w:sz w:val="22"/>
          <w:szCs w:val="22"/>
        </w:rPr>
        <w:t xml:space="preserve"> a major stationary source in accordance with Rule 62-212.400, F.A.C. for the Prevention of Significant Deterioration (PSD) of Air Quality.</w:t>
      </w:r>
    </w:p>
    <w:p w:rsidR="006D3CA8" w:rsidRDefault="00410073" w:rsidP="006D3CA8">
      <w:pPr>
        <w:keepNext/>
        <w:spacing w:after="120"/>
        <w:jc w:val="center"/>
      </w:pPr>
      <w:r>
        <w:rPr>
          <w:sz w:val="22"/>
          <w:szCs w:val="22"/>
        </w:rPr>
        <w:pict>
          <v:shape id="_x0000_i1026" type="#_x0000_t75" style="width:318.05pt;height:238.55pt" o:bordertopcolor="this" o:borderleftcolor="this" o:borderbottomcolor="this" o:borderrightcolor="this">
            <v:imagedata r:id="rId11" o:title="Photo"/>
            <w10:bordertop type="single" width="8"/>
            <w10:borderleft type="single" width="8"/>
            <w10:borderbottom type="single" width="8"/>
            <w10:borderright type="single" width="8"/>
          </v:shape>
        </w:pict>
      </w:r>
    </w:p>
    <w:p w:rsidR="006D3CA8" w:rsidRPr="006D3CA8" w:rsidRDefault="006D3CA8" w:rsidP="006D3CA8">
      <w:pPr>
        <w:pStyle w:val="Caption"/>
        <w:jc w:val="center"/>
        <w:rPr>
          <w:rFonts w:ascii="Times New Roman Bold" w:hAnsi="Times New Roman Bold"/>
          <w:b/>
          <w:i w:val="0"/>
          <w:color w:val="000000" w:themeColor="text1"/>
          <w:sz w:val="22"/>
          <w:szCs w:val="22"/>
        </w:rPr>
      </w:pPr>
      <w:bookmarkStart w:id="2" w:name="_Ref476213440"/>
      <w:r w:rsidRPr="006D3CA8">
        <w:rPr>
          <w:rFonts w:ascii="Times New Roman Bold" w:hAnsi="Times New Roman Bold"/>
          <w:b/>
          <w:i w:val="0"/>
          <w:color w:val="000000" w:themeColor="text1"/>
          <w:sz w:val="22"/>
        </w:rPr>
        <w:t xml:space="preserve">Figure </w:t>
      </w:r>
      <w:r w:rsidRPr="006D3CA8">
        <w:rPr>
          <w:rFonts w:ascii="Times New Roman Bold" w:hAnsi="Times New Roman Bold"/>
          <w:b/>
          <w:i w:val="0"/>
          <w:color w:val="000000" w:themeColor="text1"/>
          <w:sz w:val="22"/>
        </w:rPr>
        <w:fldChar w:fldCharType="begin"/>
      </w:r>
      <w:r w:rsidRPr="006D3CA8">
        <w:rPr>
          <w:rFonts w:ascii="Times New Roman Bold" w:hAnsi="Times New Roman Bold"/>
          <w:b/>
          <w:i w:val="0"/>
          <w:color w:val="000000" w:themeColor="text1"/>
          <w:sz w:val="22"/>
        </w:rPr>
        <w:instrText xml:space="preserve"> SEQ Figure \* ARABIC </w:instrText>
      </w:r>
      <w:r w:rsidRPr="006D3CA8">
        <w:rPr>
          <w:rFonts w:ascii="Times New Roman Bold" w:hAnsi="Times New Roman Bold"/>
          <w:b/>
          <w:i w:val="0"/>
          <w:color w:val="000000" w:themeColor="text1"/>
          <w:sz w:val="22"/>
        </w:rPr>
        <w:fldChar w:fldCharType="separate"/>
      </w:r>
      <w:r w:rsidRPr="006D3CA8">
        <w:rPr>
          <w:rFonts w:ascii="Times New Roman Bold" w:hAnsi="Times New Roman Bold"/>
          <w:b/>
          <w:i w:val="0"/>
          <w:noProof/>
          <w:color w:val="000000" w:themeColor="text1"/>
          <w:sz w:val="22"/>
        </w:rPr>
        <w:t>3</w:t>
      </w:r>
      <w:r w:rsidRPr="006D3CA8">
        <w:rPr>
          <w:rFonts w:ascii="Times New Roman Bold" w:hAnsi="Times New Roman Bold"/>
          <w:b/>
          <w:i w:val="0"/>
          <w:color w:val="000000" w:themeColor="text1"/>
          <w:sz w:val="22"/>
        </w:rPr>
        <w:fldChar w:fldCharType="end"/>
      </w:r>
      <w:bookmarkEnd w:id="2"/>
      <w:r w:rsidRPr="006D3CA8">
        <w:rPr>
          <w:rFonts w:ascii="Times New Roman Bold" w:hAnsi="Times New Roman Bold"/>
          <w:b/>
          <w:i w:val="0"/>
          <w:color w:val="000000" w:themeColor="text1"/>
          <w:sz w:val="22"/>
        </w:rPr>
        <w:t>.  Photo of Lee County RRF.</w:t>
      </w:r>
    </w:p>
    <w:p w:rsidR="00193F10" w:rsidRPr="00CE6739" w:rsidRDefault="00193F10" w:rsidP="00CE6739">
      <w:pPr>
        <w:pStyle w:val="ListParagraph"/>
        <w:numPr>
          <w:ilvl w:val="1"/>
          <w:numId w:val="6"/>
        </w:numPr>
        <w:spacing w:before="120" w:after="120"/>
        <w:ind w:left="720" w:hanging="720"/>
        <w:contextualSpacing w:val="0"/>
        <w:rPr>
          <w:b/>
          <w:bCs/>
          <w:sz w:val="22"/>
          <w:szCs w:val="22"/>
        </w:rPr>
      </w:pPr>
      <w:r w:rsidRPr="00CE6739">
        <w:rPr>
          <w:b/>
          <w:bCs/>
          <w:sz w:val="22"/>
          <w:szCs w:val="22"/>
        </w:rPr>
        <w:t>Project Description</w:t>
      </w:r>
    </w:p>
    <w:p w:rsidR="00193F10" w:rsidRDefault="004819E0" w:rsidP="003D09E5">
      <w:pPr>
        <w:pStyle w:val="BodyText2"/>
        <w:numPr>
          <w:ilvl w:val="0"/>
          <w:numId w:val="0"/>
        </w:numPr>
        <w:jc w:val="left"/>
      </w:pPr>
      <w:r w:rsidRPr="00CE6739">
        <w:t xml:space="preserve">The initial </w:t>
      </w:r>
      <w:r w:rsidR="003D09E5" w:rsidRPr="00CE6739">
        <w:t xml:space="preserve">PSD permit (Permit No. PSD-FL-151) for the facility, including the construction of Units 1 and 2, was issued in 1992.  This permit was modified through letters from the Department several times in 1994 and 1995.  A permit modifying the initial PSD permit (PSD-FL-151B) was issued in 2000.  Another PSD permit for the construction of Unit 3 (0710119-002-AC/PSD-FL-151C) was issued in 2003.  These permits have been slightly modified several times over the intervening years through a series of construction permits.  These permits have included the provisions of federal rules in 40 CFR 60, Subpart Cb (for Units 1 and 2), and Subpart Eb (for Unit 3).  Additionally, small changes have been made to the permitted slate of wastes that are permitted to be burned at the facility, including the addition of biosolids as a permitted </w:t>
      </w:r>
      <w:r w:rsidR="00CE6739" w:rsidRPr="00CE6739">
        <w:t>waste</w:t>
      </w:r>
      <w:r w:rsidR="003D09E5" w:rsidRPr="00CE6739">
        <w:t>.  Also, changes to the monitoring requirements for ammonia emissions have been</w:t>
      </w:r>
      <w:r w:rsidR="003D09E5">
        <w:t xml:space="preserve"> part of these various air construction permits.</w:t>
      </w:r>
    </w:p>
    <w:p w:rsidR="003D09E5" w:rsidRDefault="003D09E5" w:rsidP="003D09E5">
      <w:pPr>
        <w:pStyle w:val="BodyText2"/>
        <w:numPr>
          <w:ilvl w:val="0"/>
          <w:numId w:val="0"/>
        </w:numPr>
        <w:jc w:val="left"/>
      </w:pPr>
      <w:r>
        <w:t>The permittee has requested that the valid provisions of these previous air construction permits be collected into one new permit that would supersede all previous air construction permits, including PSD perm</w:t>
      </w:r>
      <w:r w:rsidR="00CE6739">
        <w:t xml:space="preserve">its.  This permit would not </w:t>
      </w:r>
      <w:r>
        <w:t xml:space="preserve">remove any applicable requirements from these permits or add new requirements; rather the requested permit simply collects </w:t>
      </w:r>
      <w:proofErr w:type="gramStart"/>
      <w:r>
        <w:t>all of</w:t>
      </w:r>
      <w:proofErr w:type="gramEnd"/>
      <w:r>
        <w:t xml:space="preserve"> the valid requirements from all previous permits into one clean document.  No new limits are established in this permit, and no valid requirements are removed.</w:t>
      </w:r>
    </w:p>
    <w:p w:rsidR="001D66D6" w:rsidRDefault="001D66D6" w:rsidP="001D66D6">
      <w:pPr>
        <w:pStyle w:val="BodyText2"/>
        <w:widowControl w:val="0"/>
        <w:numPr>
          <w:ilvl w:val="0"/>
          <w:numId w:val="0"/>
        </w:numPr>
        <w:jc w:val="left"/>
        <w:rPr>
          <w:szCs w:val="22"/>
        </w:rPr>
      </w:pPr>
      <w:r>
        <w:t>T</w:t>
      </w:r>
      <w:r>
        <w:rPr>
          <w:szCs w:val="22"/>
        </w:rPr>
        <w:t>he following existing emissions units (EU) will be affected by this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900"/>
      </w:tblGrid>
      <w:tr w:rsidR="001D66D6" w:rsidRPr="000616EB" w:rsidTr="00C24ED7">
        <w:trPr>
          <w:tblHeader/>
        </w:trPr>
        <w:tc>
          <w:tcPr>
            <w:tcW w:w="1035" w:type="dxa"/>
            <w:tcBorders>
              <w:bottom w:val="single" w:sz="12" w:space="0" w:color="auto"/>
            </w:tcBorders>
          </w:tcPr>
          <w:p w:rsidR="001D66D6" w:rsidRPr="00C24ED7" w:rsidRDefault="002968C8" w:rsidP="00FB4F15">
            <w:pPr>
              <w:pStyle w:val="BodyText2"/>
              <w:widowControl w:val="0"/>
              <w:numPr>
                <w:ilvl w:val="0"/>
                <w:numId w:val="0"/>
              </w:numPr>
              <w:spacing w:after="0"/>
              <w:jc w:val="center"/>
              <w:rPr>
                <w:b/>
                <w:szCs w:val="22"/>
              </w:rPr>
            </w:pPr>
            <w:r w:rsidRPr="00C24ED7">
              <w:rPr>
                <w:b/>
                <w:szCs w:val="22"/>
              </w:rPr>
              <w:t>EU</w:t>
            </w:r>
            <w:r w:rsidR="001D66D6" w:rsidRPr="00C24ED7">
              <w:rPr>
                <w:b/>
                <w:szCs w:val="22"/>
              </w:rPr>
              <w:t xml:space="preserve"> No.</w:t>
            </w:r>
          </w:p>
        </w:tc>
        <w:tc>
          <w:tcPr>
            <w:tcW w:w="8900" w:type="dxa"/>
            <w:tcBorders>
              <w:bottom w:val="single" w:sz="12" w:space="0" w:color="auto"/>
            </w:tcBorders>
          </w:tcPr>
          <w:p w:rsidR="001D66D6" w:rsidRPr="00C24ED7" w:rsidRDefault="001D66D6" w:rsidP="00FB4F15">
            <w:pPr>
              <w:pStyle w:val="BodyText2"/>
              <w:widowControl w:val="0"/>
              <w:numPr>
                <w:ilvl w:val="0"/>
                <w:numId w:val="0"/>
              </w:numPr>
              <w:spacing w:after="0"/>
              <w:jc w:val="left"/>
              <w:rPr>
                <w:b/>
                <w:szCs w:val="22"/>
              </w:rPr>
            </w:pPr>
            <w:r w:rsidRPr="00C24ED7">
              <w:rPr>
                <w:b/>
                <w:szCs w:val="22"/>
              </w:rPr>
              <w:t>Description</w:t>
            </w:r>
          </w:p>
        </w:tc>
      </w:tr>
      <w:tr w:rsidR="00CE6739" w:rsidRPr="000616EB" w:rsidTr="00CE6739">
        <w:tc>
          <w:tcPr>
            <w:tcW w:w="1035" w:type="dxa"/>
            <w:tcBorders>
              <w:bottom w:val="single" w:sz="8" w:space="0" w:color="auto"/>
            </w:tcBorders>
          </w:tcPr>
          <w:p w:rsidR="00CE6739" w:rsidRPr="00C24ED7" w:rsidRDefault="00CE6739" w:rsidP="00CE6739">
            <w:pPr>
              <w:jc w:val="center"/>
              <w:rPr>
                <w:sz w:val="22"/>
                <w:szCs w:val="22"/>
                <w:highlight w:val="green"/>
              </w:rPr>
            </w:pPr>
            <w:r w:rsidRPr="00C24ED7">
              <w:rPr>
                <w:sz w:val="22"/>
                <w:szCs w:val="22"/>
              </w:rPr>
              <w:t>001</w:t>
            </w:r>
          </w:p>
        </w:tc>
        <w:tc>
          <w:tcPr>
            <w:tcW w:w="8900" w:type="dxa"/>
            <w:tcBorders>
              <w:bottom w:val="single" w:sz="8" w:space="0" w:color="auto"/>
            </w:tcBorders>
          </w:tcPr>
          <w:p w:rsidR="00CE6739" w:rsidRPr="00C24ED7" w:rsidRDefault="00CE6739" w:rsidP="00CE6739">
            <w:pPr>
              <w:rPr>
                <w:color w:val="000000"/>
                <w:sz w:val="22"/>
                <w:szCs w:val="22"/>
              </w:rPr>
            </w:pPr>
            <w:r w:rsidRPr="00C24ED7">
              <w:rPr>
                <w:sz w:val="22"/>
                <w:szCs w:val="22"/>
              </w:rPr>
              <w:t>Municipal Waste Combustor Unit 1</w:t>
            </w:r>
          </w:p>
        </w:tc>
      </w:tr>
      <w:tr w:rsidR="00CE6739" w:rsidRPr="000616EB" w:rsidTr="00CE6739">
        <w:tc>
          <w:tcPr>
            <w:tcW w:w="1035" w:type="dxa"/>
            <w:tcBorders>
              <w:top w:val="single" w:sz="8" w:space="0" w:color="auto"/>
              <w:bottom w:val="single" w:sz="8" w:space="0" w:color="auto"/>
            </w:tcBorders>
          </w:tcPr>
          <w:p w:rsidR="00CE6739" w:rsidRPr="00C24ED7" w:rsidRDefault="00CE6739" w:rsidP="00CE6739">
            <w:pPr>
              <w:jc w:val="center"/>
              <w:rPr>
                <w:sz w:val="22"/>
                <w:szCs w:val="22"/>
                <w:highlight w:val="green"/>
              </w:rPr>
            </w:pPr>
            <w:r w:rsidRPr="00C24ED7">
              <w:rPr>
                <w:sz w:val="22"/>
                <w:szCs w:val="22"/>
              </w:rPr>
              <w:t>002</w:t>
            </w:r>
          </w:p>
        </w:tc>
        <w:tc>
          <w:tcPr>
            <w:tcW w:w="8900" w:type="dxa"/>
            <w:tcBorders>
              <w:top w:val="single" w:sz="8" w:space="0" w:color="auto"/>
              <w:bottom w:val="single" w:sz="8" w:space="0" w:color="auto"/>
            </w:tcBorders>
          </w:tcPr>
          <w:p w:rsidR="00CE6739" w:rsidRPr="00C24ED7" w:rsidRDefault="00CE6739" w:rsidP="00CE6739">
            <w:pPr>
              <w:rPr>
                <w:sz w:val="22"/>
                <w:szCs w:val="22"/>
                <w:highlight w:val="green"/>
              </w:rPr>
            </w:pPr>
            <w:r w:rsidRPr="00C24ED7">
              <w:rPr>
                <w:sz w:val="22"/>
                <w:szCs w:val="22"/>
              </w:rPr>
              <w:t>Municipal Waste Combustor Unit 2</w:t>
            </w:r>
          </w:p>
        </w:tc>
      </w:tr>
      <w:tr w:rsidR="00C24ED7" w:rsidRPr="000616EB" w:rsidTr="00CE6739">
        <w:tc>
          <w:tcPr>
            <w:tcW w:w="1035" w:type="dxa"/>
            <w:tcBorders>
              <w:top w:val="single" w:sz="8" w:space="0" w:color="auto"/>
              <w:bottom w:val="single" w:sz="8" w:space="0" w:color="auto"/>
            </w:tcBorders>
          </w:tcPr>
          <w:p w:rsidR="00C24ED7" w:rsidRPr="00C24ED7" w:rsidRDefault="00C24ED7" w:rsidP="00C24ED7">
            <w:pPr>
              <w:jc w:val="center"/>
              <w:rPr>
                <w:sz w:val="22"/>
                <w:szCs w:val="22"/>
              </w:rPr>
            </w:pPr>
            <w:r w:rsidRPr="00C24ED7">
              <w:rPr>
                <w:sz w:val="22"/>
                <w:szCs w:val="22"/>
              </w:rPr>
              <w:t>004</w:t>
            </w:r>
          </w:p>
        </w:tc>
        <w:tc>
          <w:tcPr>
            <w:tcW w:w="8900" w:type="dxa"/>
            <w:tcBorders>
              <w:top w:val="single" w:sz="8" w:space="0" w:color="auto"/>
              <w:bottom w:val="single" w:sz="8" w:space="0" w:color="auto"/>
            </w:tcBorders>
          </w:tcPr>
          <w:p w:rsidR="00C24ED7" w:rsidRPr="00C24ED7" w:rsidRDefault="00C24ED7" w:rsidP="00C24ED7">
            <w:pPr>
              <w:rPr>
                <w:sz w:val="22"/>
                <w:szCs w:val="22"/>
              </w:rPr>
            </w:pPr>
            <w:r w:rsidRPr="00C24ED7">
              <w:rPr>
                <w:bCs/>
                <w:sz w:val="22"/>
                <w:szCs w:val="22"/>
              </w:rPr>
              <w:t>Ash Handling System</w:t>
            </w:r>
          </w:p>
        </w:tc>
      </w:tr>
      <w:tr w:rsidR="00C24ED7" w:rsidRPr="000616EB" w:rsidTr="00CE6739">
        <w:tc>
          <w:tcPr>
            <w:tcW w:w="1035" w:type="dxa"/>
            <w:tcBorders>
              <w:top w:val="single" w:sz="8" w:space="0" w:color="auto"/>
              <w:bottom w:val="single" w:sz="8" w:space="0" w:color="auto"/>
            </w:tcBorders>
          </w:tcPr>
          <w:p w:rsidR="00C24ED7" w:rsidRPr="00C24ED7" w:rsidRDefault="00C24ED7" w:rsidP="00C24ED7">
            <w:pPr>
              <w:jc w:val="center"/>
              <w:rPr>
                <w:sz w:val="22"/>
                <w:szCs w:val="22"/>
                <w:highlight w:val="green"/>
              </w:rPr>
            </w:pPr>
            <w:r w:rsidRPr="00C24ED7">
              <w:rPr>
                <w:sz w:val="22"/>
                <w:szCs w:val="22"/>
              </w:rPr>
              <w:lastRenderedPageBreak/>
              <w:t>006</w:t>
            </w:r>
          </w:p>
        </w:tc>
        <w:tc>
          <w:tcPr>
            <w:tcW w:w="8900" w:type="dxa"/>
            <w:tcBorders>
              <w:top w:val="single" w:sz="8" w:space="0" w:color="auto"/>
              <w:bottom w:val="single" w:sz="8" w:space="0" w:color="auto"/>
            </w:tcBorders>
          </w:tcPr>
          <w:p w:rsidR="00C24ED7" w:rsidRPr="00C24ED7" w:rsidRDefault="00C24ED7" w:rsidP="00C24ED7">
            <w:pPr>
              <w:rPr>
                <w:sz w:val="22"/>
                <w:szCs w:val="22"/>
                <w:highlight w:val="green"/>
              </w:rPr>
            </w:pPr>
            <w:r w:rsidRPr="00C24ED7">
              <w:rPr>
                <w:sz w:val="22"/>
                <w:szCs w:val="22"/>
              </w:rPr>
              <w:t>Municipal Waste Combustor Unit 3</w:t>
            </w:r>
          </w:p>
        </w:tc>
      </w:tr>
      <w:tr w:rsidR="00C24ED7" w:rsidRPr="000616EB" w:rsidTr="00CE6739">
        <w:tc>
          <w:tcPr>
            <w:tcW w:w="1035" w:type="dxa"/>
            <w:tcBorders>
              <w:top w:val="single" w:sz="8" w:space="0" w:color="auto"/>
              <w:bottom w:val="single" w:sz="8" w:space="0" w:color="auto"/>
            </w:tcBorders>
          </w:tcPr>
          <w:p w:rsidR="00C24ED7" w:rsidRPr="00C24ED7" w:rsidRDefault="00C24ED7" w:rsidP="00C24ED7">
            <w:pPr>
              <w:jc w:val="center"/>
              <w:rPr>
                <w:sz w:val="22"/>
                <w:szCs w:val="22"/>
              </w:rPr>
            </w:pPr>
            <w:r w:rsidRPr="00C24ED7">
              <w:rPr>
                <w:sz w:val="22"/>
                <w:szCs w:val="22"/>
              </w:rPr>
              <w:t>008</w:t>
            </w:r>
          </w:p>
        </w:tc>
        <w:tc>
          <w:tcPr>
            <w:tcW w:w="8900" w:type="dxa"/>
            <w:tcBorders>
              <w:top w:val="single" w:sz="8" w:space="0" w:color="auto"/>
              <w:bottom w:val="single" w:sz="8" w:space="0" w:color="auto"/>
            </w:tcBorders>
          </w:tcPr>
          <w:p w:rsidR="00C24ED7" w:rsidRPr="00C24ED7" w:rsidRDefault="00C24ED7" w:rsidP="00C24ED7">
            <w:pPr>
              <w:rPr>
                <w:sz w:val="22"/>
                <w:szCs w:val="22"/>
              </w:rPr>
            </w:pPr>
            <w:r w:rsidRPr="00C24ED7">
              <w:rPr>
                <w:sz w:val="22"/>
                <w:szCs w:val="22"/>
              </w:rPr>
              <w:t>Diesel Emergency Generator - 330 horsepower (HP)</w:t>
            </w:r>
          </w:p>
        </w:tc>
      </w:tr>
      <w:tr w:rsidR="00C24ED7" w:rsidRPr="000616EB" w:rsidTr="00CE6739">
        <w:tc>
          <w:tcPr>
            <w:tcW w:w="1035" w:type="dxa"/>
            <w:tcBorders>
              <w:top w:val="single" w:sz="8" w:space="0" w:color="auto"/>
              <w:bottom w:val="single" w:sz="8" w:space="0" w:color="auto"/>
            </w:tcBorders>
          </w:tcPr>
          <w:p w:rsidR="00C24ED7" w:rsidRPr="00C24ED7" w:rsidRDefault="00C24ED7" w:rsidP="00C24ED7">
            <w:pPr>
              <w:jc w:val="center"/>
              <w:rPr>
                <w:sz w:val="22"/>
                <w:szCs w:val="22"/>
              </w:rPr>
            </w:pPr>
            <w:r w:rsidRPr="00C24ED7">
              <w:rPr>
                <w:sz w:val="22"/>
                <w:szCs w:val="22"/>
              </w:rPr>
              <w:t>009</w:t>
            </w:r>
          </w:p>
        </w:tc>
        <w:tc>
          <w:tcPr>
            <w:tcW w:w="8900" w:type="dxa"/>
            <w:tcBorders>
              <w:top w:val="single" w:sz="8" w:space="0" w:color="auto"/>
              <w:bottom w:val="single" w:sz="8" w:space="0" w:color="auto"/>
            </w:tcBorders>
          </w:tcPr>
          <w:p w:rsidR="00C24ED7" w:rsidRPr="00C24ED7" w:rsidRDefault="00C24ED7" w:rsidP="00C24ED7">
            <w:pPr>
              <w:rPr>
                <w:sz w:val="22"/>
                <w:szCs w:val="22"/>
              </w:rPr>
            </w:pPr>
            <w:r w:rsidRPr="00C24ED7">
              <w:rPr>
                <w:sz w:val="22"/>
                <w:szCs w:val="22"/>
              </w:rPr>
              <w:t>Fire Pump No. 1 - 305 HP</w:t>
            </w:r>
          </w:p>
        </w:tc>
      </w:tr>
      <w:tr w:rsidR="00C24ED7" w:rsidRPr="000616EB" w:rsidTr="00CE6739">
        <w:tc>
          <w:tcPr>
            <w:tcW w:w="1035" w:type="dxa"/>
            <w:tcBorders>
              <w:top w:val="single" w:sz="8" w:space="0" w:color="auto"/>
              <w:bottom w:val="single" w:sz="8" w:space="0" w:color="auto"/>
            </w:tcBorders>
          </w:tcPr>
          <w:p w:rsidR="00C24ED7" w:rsidRPr="00C24ED7" w:rsidRDefault="00C24ED7" w:rsidP="00C24ED7">
            <w:pPr>
              <w:jc w:val="center"/>
              <w:rPr>
                <w:sz w:val="22"/>
                <w:szCs w:val="22"/>
                <w:highlight w:val="yellow"/>
                <w:u w:val="double"/>
              </w:rPr>
            </w:pPr>
            <w:r w:rsidRPr="00C24ED7">
              <w:rPr>
                <w:sz w:val="22"/>
                <w:szCs w:val="22"/>
              </w:rPr>
              <w:t>010</w:t>
            </w:r>
          </w:p>
        </w:tc>
        <w:tc>
          <w:tcPr>
            <w:tcW w:w="8900" w:type="dxa"/>
            <w:tcBorders>
              <w:top w:val="single" w:sz="8" w:space="0" w:color="auto"/>
              <w:bottom w:val="single" w:sz="8" w:space="0" w:color="auto"/>
            </w:tcBorders>
          </w:tcPr>
          <w:p w:rsidR="00C24ED7" w:rsidRPr="00C24ED7" w:rsidRDefault="00C24ED7" w:rsidP="00C24ED7">
            <w:pPr>
              <w:rPr>
                <w:sz w:val="22"/>
                <w:szCs w:val="22"/>
                <w:highlight w:val="yellow"/>
                <w:u w:val="double"/>
              </w:rPr>
            </w:pPr>
            <w:r w:rsidRPr="00C24ED7">
              <w:rPr>
                <w:sz w:val="22"/>
                <w:szCs w:val="22"/>
              </w:rPr>
              <w:t>Fire Pump No. 2 - 300 HP</w:t>
            </w:r>
          </w:p>
        </w:tc>
      </w:tr>
      <w:tr w:rsidR="00C24ED7" w:rsidRPr="000616EB" w:rsidTr="00CE6739">
        <w:tc>
          <w:tcPr>
            <w:tcW w:w="1035" w:type="dxa"/>
            <w:tcBorders>
              <w:top w:val="single" w:sz="8" w:space="0" w:color="auto"/>
            </w:tcBorders>
          </w:tcPr>
          <w:p w:rsidR="00C24ED7" w:rsidRPr="00C24ED7" w:rsidRDefault="00C24ED7" w:rsidP="00C24ED7">
            <w:pPr>
              <w:jc w:val="center"/>
              <w:rPr>
                <w:sz w:val="22"/>
                <w:szCs w:val="22"/>
                <w:highlight w:val="yellow"/>
                <w:u w:val="double"/>
              </w:rPr>
            </w:pPr>
            <w:r w:rsidRPr="00C24ED7">
              <w:rPr>
                <w:sz w:val="22"/>
                <w:szCs w:val="22"/>
              </w:rPr>
              <w:t>011</w:t>
            </w:r>
          </w:p>
        </w:tc>
        <w:tc>
          <w:tcPr>
            <w:tcW w:w="8900" w:type="dxa"/>
            <w:tcBorders>
              <w:top w:val="single" w:sz="8" w:space="0" w:color="auto"/>
            </w:tcBorders>
          </w:tcPr>
          <w:p w:rsidR="00C24ED7" w:rsidRPr="00C24ED7" w:rsidRDefault="00C24ED7" w:rsidP="00C24ED7">
            <w:pPr>
              <w:rPr>
                <w:sz w:val="22"/>
                <w:szCs w:val="22"/>
                <w:highlight w:val="yellow"/>
                <w:u w:val="double"/>
              </w:rPr>
            </w:pPr>
            <w:r w:rsidRPr="00C24ED7">
              <w:rPr>
                <w:sz w:val="22"/>
                <w:szCs w:val="22"/>
              </w:rPr>
              <w:t>Fire Pump No. 3 - 64 HP (Waste-to-Energy (WTE) Transfer Station)</w:t>
            </w:r>
          </w:p>
        </w:tc>
      </w:tr>
    </w:tbl>
    <w:p w:rsidR="001D66D6" w:rsidRDefault="004717A3" w:rsidP="001D66D6">
      <w:pPr>
        <w:pStyle w:val="BodyText2"/>
        <w:widowControl w:val="0"/>
        <w:numPr>
          <w:ilvl w:val="0"/>
          <w:numId w:val="0"/>
        </w:numPr>
        <w:spacing w:before="240"/>
        <w:jc w:val="left"/>
        <w:rPr>
          <w:szCs w:val="22"/>
        </w:rPr>
      </w:pPr>
      <w:r>
        <w:t>No</w:t>
      </w:r>
      <w:r w:rsidR="001D66D6">
        <w:rPr>
          <w:szCs w:val="22"/>
        </w:rPr>
        <w:t xml:space="preserve"> emissions units will be added</w:t>
      </w:r>
      <w:r w:rsidR="00C24ED7">
        <w:rPr>
          <w:szCs w:val="22"/>
        </w:rPr>
        <w:t xml:space="preserve"> or removed</w:t>
      </w:r>
      <w:r w:rsidR="001D66D6">
        <w:rPr>
          <w:szCs w:val="22"/>
        </w:rPr>
        <w:t xml:space="preserve"> by this project.</w:t>
      </w:r>
    </w:p>
    <w:p w:rsidR="001C4E37" w:rsidRPr="00590090" w:rsidRDefault="001C4E37" w:rsidP="00590090">
      <w:pPr>
        <w:pStyle w:val="ListParagraph"/>
        <w:numPr>
          <w:ilvl w:val="1"/>
          <w:numId w:val="6"/>
        </w:numPr>
        <w:spacing w:before="120" w:after="120"/>
        <w:ind w:left="720" w:hanging="720"/>
        <w:contextualSpacing w:val="0"/>
        <w:rPr>
          <w:b/>
          <w:bCs/>
          <w:sz w:val="22"/>
          <w:szCs w:val="22"/>
        </w:rPr>
      </w:pPr>
      <w:r w:rsidRPr="00590090">
        <w:rPr>
          <w:b/>
          <w:bCs/>
          <w:sz w:val="22"/>
          <w:szCs w:val="22"/>
        </w:rPr>
        <w:t>Processing Schedule</w:t>
      </w:r>
    </w:p>
    <w:p w:rsidR="001D66D6" w:rsidRPr="00730F9C" w:rsidRDefault="00F10EA3" w:rsidP="00F10EA3">
      <w:pPr>
        <w:pStyle w:val="BodyText"/>
        <w:widowControl w:val="0"/>
        <w:numPr>
          <w:ilvl w:val="12"/>
          <w:numId w:val="0"/>
        </w:numPr>
        <w:ind w:left="1800" w:hanging="1800"/>
        <w:rPr>
          <w:sz w:val="22"/>
          <w:szCs w:val="22"/>
        </w:rPr>
      </w:pPr>
      <w:r>
        <w:rPr>
          <w:sz w:val="22"/>
          <w:szCs w:val="22"/>
        </w:rPr>
        <w:t>February 27, 2017</w:t>
      </w:r>
      <w:r w:rsidR="001D66D6" w:rsidRPr="00730F9C">
        <w:rPr>
          <w:sz w:val="22"/>
          <w:szCs w:val="22"/>
        </w:rPr>
        <w:tab/>
        <w:t xml:space="preserve">Department received the </w:t>
      </w:r>
      <w:r>
        <w:rPr>
          <w:sz w:val="22"/>
          <w:szCs w:val="22"/>
        </w:rPr>
        <w:t xml:space="preserve">complete </w:t>
      </w:r>
      <w:r w:rsidR="001D66D6" w:rsidRPr="00730F9C">
        <w:rPr>
          <w:sz w:val="22"/>
          <w:szCs w:val="22"/>
        </w:rPr>
        <w:t>application for a</w:t>
      </w:r>
      <w:r>
        <w:rPr>
          <w:sz w:val="22"/>
          <w:szCs w:val="22"/>
        </w:rPr>
        <w:t>n</w:t>
      </w:r>
      <w:r w:rsidR="001D66D6" w:rsidRPr="00730F9C">
        <w:rPr>
          <w:sz w:val="22"/>
          <w:szCs w:val="22"/>
        </w:rPr>
        <w:t xml:space="preserve"> air pollution construction permit</w:t>
      </w:r>
      <w:r>
        <w:rPr>
          <w:sz w:val="22"/>
          <w:szCs w:val="22"/>
        </w:rPr>
        <w:t xml:space="preserve"> and a concurrent Title V air operation permit revision</w:t>
      </w:r>
      <w:r w:rsidR="001D66D6" w:rsidRPr="00730F9C">
        <w:rPr>
          <w:sz w:val="22"/>
          <w:szCs w:val="22"/>
        </w:rPr>
        <w:t>.</w:t>
      </w:r>
    </w:p>
    <w:p w:rsidR="001D66D6" w:rsidRPr="00730F9C" w:rsidRDefault="00C92D6B" w:rsidP="001D66D6">
      <w:pPr>
        <w:pStyle w:val="BodyText"/>
        <w:widowControl w:val="0"/>
        <w:numPr>
          <w:ilvl w:val="12"/>
          <w:numId w:val="0"/>
        </w:numPr>
        <w:rPr>
          <w:sz w:val="22"/>
          <w:szCs w:val="22"/>
        </w:rPr>
      </w:pPr>
      <w:r>
        <w:rPr>
          <w:sz w:val="22"/>
          <w:szCs w:val="22"/>
        </w:rPr>
        <w:t>April 4, 2017</w:t>
      </w:r>
      <w:r w:rsidR="001D66D6" w:rsidRPr="00730F9C">
        <w:rPr>
          <w:sz w:val="22"/>
          <w:szCs w:val="22"/>
        </w:rPr>
        <w:tab/>
      </w:r>
      <w:r>
        <w:rPr>
          <w:sz w:val="22"/>
          <w:szCs w:val="22"/>
        </w:rPr>
        <w:tab/>
      </w:r>
      <w:r w:rsidR="001D66D6" w:rsidRPr="00730F9C">
        <w:rPr>
          <w:sz w:val="22"/>
          <w:szCs w:val="22"/>
        </w:rPr>
        <w:t xml:space="preserve">Department </w:t>
      </w:r>
      <w:r w:rsidR="00F10EA3">
        <w:rPr>
          <w:sz w:val="22"/>
          <w:szCs w:val="22"/>
        </w:rPr>
        <w:t>issued Draft Permit package</w:t>
      </w:r>
      <w:r w:rsidR="001D66D6" w:rsidRPr="00730F9C">
        <w:rPr>
          <w:sz w:val="22"/>
          <w:szCs w:val="22"/>
        </w:rPr>
        <w:t>.</w:t>
      </w:r>
    </w:p>
    <w:p w:rsidR="00193F10" w:rsidRDefault="00D51D78" w:rsidP="00C92D6B">
      <w:pPr>
        <w:pStyle w:val="ListParagraph"/>
        <w:numPr>
          <w:ilvl w:val="0"/>
          <w:numId w:val="6"/>
        </w:numPr>
        <w:spacing w:after="120"/>
        <w:ind w:left="720" w:hanging="720"/>
        <w:contextualSpacing w:val="0"/>
        <w:rPr>
          <w:b/>
          <w:caps/>
          <w:sz w:val="22"/>
        </w:rPr>
      </w:pPr>
      <w:r>
        <w:rPr>
          <w:b/>
          <w:caps/>
          <w:sz w:val="22"/>
        </w:rPr>
        <w:t>PSD Applicability</w:t>
      </w:r>
    </w:p>
    <w:p w:rsidR="00D51D78" w:rsidRPr="00193F10" w:rsidRDefault="00D51D78" w:rsidP="00590090">
      <w:pPr>
        <w:pStyle w:val="ListParagraph"/>
        <w:numPr>
          <w:ilvl w:val="1"/>
          <w:numId w:val="6"/>
        </w:numPr>
        <w:spacing w:before="120" w:after="120"/>
        <w:ind w:left="720" w:hanging="720"/>
        <w:contextualSpacing w:val="0"/>
        <w:rPr>
          <w:b/>
          <w:sz w:val="22"/>
        </w:rPr>
      </w:pPr>
      <w:r w:rsidRPr="00193F10">
        <w:rPr>
          <w:b/>
          <w:sz w:val="22"/>
        </w:rPr>
        <w:t xml:space="preserve">General </w:t>
      </w:r>
      <w:r>
        <w:rPr>
          <w:b/>
          <w:sz w:val="22"/>
        </w:rPr>
        <w:t xml:space="preserve">PSD </w:t>
      </w:r>
      <w:r w:rsidRPr="00193F10">
        <w:rPr>
          <w:b/>
          <w:sz w:val="22"/>
        </w:rPr>
        <w:t>Applicability</w:t>
      </w:r>
    </w:p>
    <w:p w:rsidR="00590090" w:rsidRDefault="00590090" w:rsidP="00590090">
      <w:pPr>
        <w:pStyle w:val="BodyText"/>
        <w:widowControl w:val="0"/>
        <w:rPr>
          <w:sz w:val="22"/>
        </w:rPr>
      </w:pPr>
      <w:r>
        <w:rPr>
          <w:sz w:val="22"/>
        </w:rPr>
        <w:t xml:space="preserve">For </w:t>
      </w:r>
      <w:r w:rsidR="00C92D6B">
        <w:rPr>
          <w:sz w:val="22"/>
        </w:rPr>
        <w:t>areas,</w:t>
      </w:r>
      <w:r>
        <w:rPr>
          <w:sz w:val="22"/>
        </w:rPr>
        <w:t xml:space="preserve">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Pr>
          <w:i/>
          <w:sz w:val="22"/>
        </w:rPr>
        <w:t>from the proposed project itself</w:t>
      </w:r>
      <w:r>
        <w:rPr>
          <w:sz w:val="22"/>
        </w:rPr>
        <w:t xml:space="preserve"> will exceed the PSD major stationary source thresholds.  A facility is considered a major stationary source with respect to PSD if it emits or has the potential to emit:</w:t>
      </w:r>
    </w:p>
    <w:p w:rsidR="00590090" w:rsidRDefault="00590090" w:rsidP="00590090">
      <w:pPr>
        <w:pStyle w:val="BodyText"/>
        <w:widowControl w:val="0"/>
        <w:numPr>
          <w:ilvl w:val="0"/>
          <w:numId w:val="8"/>
        </w:numPr>
        <w:rPr>
          <w:sz w:val="22"/>
        </w:rPr>
      </w:pPr>
      <w:r>
        <w:rPr>
          <w:sz w:val="22"/>
        </w:rPr>
        <w:t>5 tons/year or more of lead;</w:t>
      </w:r>
    </w:p>
    <w:p w:rsidR="00590090" w:rsidRDefault="00590090" w:rsidP="00590090">
      <w:pPr>
        <w:pStyle w:val="BodyText"/>
        <w:widowControl w:val="0"/>
        <w:numPr>
          <w:ilvl w:val="0"/>
          <w:numId w:val="8"/>
        </w:numPr>
        <w:rPr>
          <w:sz w:val="22"/>
        </w:rPr>
      </w:pPr>
      <w:r>
        <w:rPr>
          <w:sz w:val="22"/>
        </w:rPr>
        <w:t>250 tons/year or more of any regulated air pollutant; or</w:t>
      </w:r>
    </w:p>
    <w:p w:rsidR="00590090" w:rsidRDefault="00590090" w:rsidP="00590090">
      <w:pPr>
        <w:pStyle w:val="BodyText"/>
        <w:widowControl w:val="0"/>
        <w:numPr>
          <w:ilvl w:val="0"/>
          <w:numId w:val="8"/>
        </w:numPr>
        <w:rPr>
          <w:sz w:val="22"/>
        </w:rPr>
      </w:pPr>
      <w:r>
        <w:rPr>
          <w:sz w:val="22"/>
        </w:rPr>
        <w:t xml:space="preserve">100 tons/year or more of any regulated air pollutant and the facility belongs to one of the following 28 PSD-major facility categories:  </w:t>
      </w:r>
      <w:r>
        <w:rPr>
          <w:sz w:val="22"/>
          <w:szCs w:val="22"/>
        </w:rPr>
        <w:t>fossil fuel-fired steam electric plants of more than 250 million British thermal units per hour (MMBtu/hour) heat input, coal cleaning plants (with thermal dryers), Kraft pulp mills, Portland cement plants, primary zinc smelters, iron and steel mill plants, primary aluminum ore reduction plants, primary copper smelters, municipal incinerators capable of charging more than 250 tons of refuse/day,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MMBtu/hour heat input, petroleum storage and transfer units with a total storage capacity exceeding 300,000 barrels, taconite ore processing plants, glass fiber processing plants and charcoal production plants.</w:t>
      </w:r>
    </w:p>
    <w:p w:rsidR="00590090" w:rsidRDefault="00590090" w:rsidP="00590090">
      <w:pPr>
        <w:pStyle w:val="BodyText"/>
        <w:widowControl w:val="0"/>
        <w:rPr>
          <w:bCs/>
          <w:sz w:val="22"/>
          <w:szCs w:val="22"/>
        </w:rPr>
      </w:pPr>
      <w:r>
        <w:rPr>
          <w:rFonts w:eastAsia="Calibri"/>
          <w:sz w:val="22"/>
          <w:szCs w:val="22"/>
        </w:rPr>
        <w:t>The list of the 28 source categories does include the category of “</w:t>
      </w:r>
      <w:r>
        <w:rPr>
          <w:sz w:val="22"/>
          <w:szCs w:val="22"/>
        </w:rPr>
        <w:t>municipal incinerators capable of charging more than 250 tons of refuse per day</w:t>
      </w:r>
      <w:r>
        <w:rPr>
          <w:rFonts w:eastAsia="Calibri"/>
          <w:sz w:val="22"/>
          <w:szCs w:val="22"/>
        </w:rPr>
        <w:t xml:space="preserve">.”  Therefore, the </w:t>
      </w:r>
      <w:r>
        <w:rPr>
          <w:bCs/>
          <w:sz w:val="22"/>
          <w:szCs w:val="22"/>
        </w:rPr>
        <w:t xml:space="preserve">Lee County RRF has a major stationary source threshold is 100 tons/year or more of any PSD pollutant.  As already mentioned, this facility is a major stationary source for the PSD of Air Quality because it emits more than </w:t>
      </w:r>
      <w:r>
        <w:rPr>
          <w:sz w:val="22"/>
        </w:rPr>
        <w:t>100 tons/year or more of a regulated air pollutant</w:t>
      </w:r>
      <w:r>
        <w:rPr>
          <w:bCs/>
          <w:sz w:val="22"/>
          <w:szCs w:val="22"/>
        </w:rPr>
        <w:t>.</w:t>
      </w:r>
    </w:p>
    <w:p w:rsidR="00590090" w:rsidRDefault="00590090" w:rsidP="00590090">
      <w:pPr>
        <w:widowControl w:val="0"/>
        <w:spacing w:after="120"/>
        <w:rPr>
          <w:rFonts w:eastAsia="Calibri"/>
          <w:sz w:val="22"/>
          <w:szCs w:val="22"/>
        </w:rPr>
      </w:pPr>
      <w:r>
        <w:rPr>
          <w:sz w:val="22"/>
          <w:szCs w:val="22"/>
        </w:rPr>
        <w:t>Once it is determined that a facility is a PSD major source, PSD applicability for any project at the facility is based on emissions thresholds known as the “significant emission rates” (SER) as defined in Rule 62-</w:t>
      </w:r>
      <w:r>
        <w:rPr>
          <w:sz w:val="22"/>
          <w:szCs w:val="22"/>
        </w:rPr>
        <w:lastRenderedPageBreak/>
        <w:t xml:space="preserve">210.200(Definitions), F.A.C.  Emissions of PSD pollutants from the project meet or exceed these rates are considered “significant” and the Best Available Control Technology (BACT) must be employed to minimize emissions of each PSD pollutant.  Although a facility may be “major” for only one PSD pollutant, a project must include BACT controls for any PSD pollutant that equals or exceeds the corresponding SER.  </w:t>
      </w:r>
      <w:r>
        <w:rPr>
          <w:rFonts w:eastAsia="Calibri"/>
          <w:sz w:val="22"/>
          <w:szCs w:val="22"/>
        </w:rPr>
        <w:t xml:space="preserve">SER threshold by pollutants are given in </w:t>
      </w:r>
      <w:r>
        <w:rPr>
          <w:rFonts w:eastAsia="Calibri"/>
          <w:b/>
          <w:sz w:val="22"/>
          <w:szCs w:val="22"/>
        </w:rPr>
        <w:fldChar w:fldCharType="begin"/>
      </w:r>
      <w:r>
        <w:rPr>
          <w:rFonts w:eastAsia="Calibri"/>
          <w:b/>
          <w:sz w:val="22"/>
          <w:szCs w:val="22"/>
        </w:rPr>
        <w:instrText xml:space="preserve"> REF _Ref417040201 \h  \* MERGEFORMAT </w:instrText>
      </w:r>
      <w:r>
        <w:rPr>
          <w:rFonts w:eastAsia="Calibri"/>
          <w:b/>
          <w:sz w:val="22"/>
          <w:szCs w:val="22"/>
        </w:rPr>
      </w:r>
      <w:r>
        <w:rPr>
          <w:rFonts w:eastAsia="Calibri"/>
          <w:b/>
          <w:sz w:val="22"/>
          <w:szCs w:val="22"/>
        </w:rPr>
        <w:fldChar w:fldCharType="separate"/>
      </w:r>
      <w:r>
        <w:rPr>
          <w:b/>
          <w:sz w:val="22"/>
          <w:szCs w:val="22"/>
        </w:rPr>
        <w:t xml:space="preserve">Table </w:t>
      </w:r>
      <w:r>
        <w:rPr>
          <w:b/>
          <w:noProof/>
          <w:sz w:val="22"/>
          <w:szCs w:val="22"/>
        </w:rPr>
        <w:t>1</w:t>
      </w:r>
      <w:r>
        <w:rPr>
          <w:rFonts w:eastAsia="Calibri"/>
          <w:b/>
          <w:sz w:val="22"/>
          <w:szCs w:val="22"/>
        </w:rPr>
        <w:fldChar w:fldCharType="end"/>
      </w:r>
      <w:r>
        <w:rPr>
          <w:rFonts w:eastAsia="Calibri"/>
          <w:sz w:val="22"/>
          <w:szCs w:val="22"/>
        </w:rPr>
        <w:t>.</w:t>
      </w:r>
    </w:p>
    <w:p w:rsidR="00590090" w:rsidRDefault="00590090" w:rsidP="00590090">
      <w:pPr>
        <w:spacing w:after="120"/>
        <w:jc w:val="center"/>
        <w:rPr>
          <w:rFonts w:ascii="Times New Roman Bold" w:hAnsi="Times New Roman Bold"/>
          <w:b/>
          <w:caps/>
          <w:sz w:val="22"/>
        </w:rPr>
      </w:pPr>
      <w:bookmarkStart w:id="3" w:name="_Ref417040201"/>
      <w:r>
        <w:rPr>
          <w:rFonts w:ascii="Times New Roman Bold" w:hAnsi="Times New Roman Bold"/>
          <w:b/>
          <w:caps/>
          <w:sz w:val="22"/>
        </w:rPr>
        <w:t xml:space="preserve">Table </w:t>
      </w:r>
      <w:r>
        <w:fldChar w:fldCharType="begin"/>
      </w:r>
      <w:r>
        <w:rPr>
          <w:rFonts w:ascii="Times New Roman Bold" w:hAnsi="Times New Roman Bold"/>
          <w:b/>
          <w:caps/>
          <w:sz w:val="22"/>
        </w:rPr>
        <w:instrText xml:space="preserve"> SEQ Table \* ARABIC </w:instrText>
      </w:r>
      <w:r>
        <w:fldChar w:fldCharType="separate"/>
      </w:r>
      <w:r>
        <w:rPr>
          <w:rFonts w:ascii="Times New Roman Bold" w:hAnsi="Times New Roman Bold"/>
          <w:b/>
          <w:caps/>
          <w:noProof/>
          <w:sz w:val="22"/>
        </w:rPr>
        <w:t>1</w:t>
      </w:r>
      <w:r>
        <w:fldChar w:fldCharType="end"/>
      </w:r>
      <w:bookmarkEnd w:id="3"/>
      <w:r>
        <w:rPr>
          <w:rFonts w:ascii="Times New Roman Bold" w:hAnsi="Times New Roman Bold"/>
          <w:b/>
          <w:caps/>
          <w:sz w:val="22"/>
        </w:rPr>
        <w:t xml:space="preserve"> – List of SER by PSD Pollutant.</w:t>
      </w:r>
    </w:p>
    <w:tbl>
      <w:tblPr>
        <w:tblW w:w="90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75"/>
        <w:gridCol w:w="1620"/>
        <w:gridCol w:w="2521"/>
        <w:gridCol w:w="3044"/>
      </w:tblGrid>
      <w:tr w:rsidR="00590090" w:rsidTr="00590090">
        <w:trPr>
          <w:trHeight w:val="290"/>
          <w:jc w:val="center"/>
        </w:trPr>
        <w:tc>
          <w:tcPr>
            <w:tcW w:w="1875" w:type="dxa"/>
            <w:tcBorders>
              <w:top w:val="single" w:sz="12" w:space="0" w:color="auto"/>
              <w:left w:val="single" w:sz="12" w:space="0" w:color="auto"/>
              <w:bottom w:val="single" w:sz="4" w:space="0" w:color="auto"/>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b/>
                <w:color w:val="000000"/>
              </w:rPr>
            </w:pPr>
            <w:r>
              <w:rPr>
                <w:b/>
                <w:color w:val="000000"/>
              </w:rPr>
              <w:t>Pollutant</w:t>
            </w:r>
          </w:p>
        </w:tc>
        <w:tc>
          <w:tcPr>
            <w:tcW w:w="1620" w:type="dxa"/>
            <w:tcBorders>
              <w:top w:val="single" w:sz="12" w:space="0" w:color="auto"/>
              <w:left w:val="single" w:sz="4" w:space="0" w:color="auto"/>
              <w:bottom w:val="single" w:sz="4" w:space="0" w:color="auto"/>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b/>
                <w:color w:val="000000"/>
              </w:rPr>
            </w:pPr>
            <w:r>
              <w:rPr>
                <w:b/>
                <w:color w:val="000000"/>
              </w:rPr>
              <w:t>SER (TPY)</w:t>
            </w:r>
          </w:p>
        </w:tc>
        <w:tc>
          <w:tcPr>
            <w:tcW w:w="2520" w:type="dxa"/>
            <w:tcBorders>
              <w:top w:val="single" w:sz="12" w:space="0" w:color="auto"/>
              <w:left w:val="single" w:sz="4" w:space="0" w:color="auto"/>
              <w:bottom w:val="single" w:sz="4" w:space="0" w:color="auto"/>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b/>
                <w:color w:val="000000"/>
              </w:rPr>
            </w:pPr>
            <w:r>
              <w:rPr>
                <w:b/>
                <w:color w:val="000000"/>
              </w:rPr>
              <w:t>Pollutant</w:t>
            </w:r>
          </w:p>
        </w:tc>
        <w:tc>
          <w:tcPr>
            <w:tcW w:w="3043" w:type="dxa"/>
            <w:tcBorders>
              <w:top w:val="single" w:sz="12" w:space="0" w:color="auto"/>
              <w:left w:val="single" w:sz="4" w:space="0" w:color="auto"/>
              <w:bottom w:val="single" w:sz="4" w:space="0" w:color="auto"/>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b/>
                <w:color w:val="000000"/>
              </w:rPr>
            </w:pPr>
            <w:r>
              <w:rPr>
                <w:b/>
                <w:color w:val="000000"/>
              </w:rPr>
              <w:t>SER (TPY)</w:t>
            </w:r>
          </w:p>
        </w:tc>
      </w:tr>
      <w:tr w:rsidR="00590090" w:rsidTr="00590090">
        <w:trPr>
          <w:trHeight w:val="264"/>
          <w:jc w:val="center"/>
        </w:trPr>
        <w:tc>
          <w:tcPr>
            <w:tcW w:w="1875" w:type="dxa"/>
            <w:tcBorders>
              <w:top w:val="single" w:sz="4" w:space="0" w:color="auto"/>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CO</w:t>
            </w:r>
          </w:p>
        </w:tc>
        <w:tc>
          <w:tcPr>
            <w:tcW w:w="1620" w:type="dxa"/>
            <w:tcBorders>
              <w:top w:val="single" w:sz="4" w:space="0" w:color="auto"/>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100</w:t>
            </w:r>
          </w:p>
        </w:tc>
        <w:tc>
          <w:tcPr>
            <w:tcW w:w="2520" w:type="dxa"/>
            <w:tcBorders>
              <w:top w:val="single" w:sz="4" w:space="0" w:color="auto"/>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NO</w:t>
            </w:r>
            <w:r>
              <w:rPr>
                <w:color w:val="000000"/>
                <w:vertAlign w:val="subscript"/>
              </w:rPr>
              <w:t>X</w:t>
            </w:r>
          </w:p>
        </w:tc>
        <w:tc>
          <w:tcPr>
            <w:tcW w:w="3043" w:type="dxa"/>
            <w:tcBorders>
              <w:top w:val="single" w:sz="4" w:space="0" w:color="auto"/>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r>
      <w:tr w:rsidR="00590090" w:rsidTr="00590090">
        <w:trPr>
          <w:trHeight w:val="264"/>
          <w:jc w:val="center"/>
        </w:trPr>
        <w:tc>
          <w:tcPr>
            <w:tcW w:w="1875" w:type="dxa"/>
            <w:tcBorders>
              <w:top w:val="single" w:sz="6" w:space="0" w:color="000000"/>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PM/PM</w:t>
            </w:r>
            <w:r>
              <w:rPr>
                <w:vertAlign w:val="subscript"/>
              </w:rPr>
              <w:t>10</w:t>
            </w:r>
            <w:r>
              <w:rPr>
                <w:color w:val="000000"/>
              </w:rPr>
              <w:t>/PM</w:t>
            </w:r>
            <w:r>
              <w:rPr>
                <w:color w:val="000000"/>
                <w:vertAlign w:val="subscript"/>
              </w:rPr>
              <w:t>2.5</w:t>
            </w:r>
          </w:p>
        </w:tc>
        <w:tc>
          <w:tcPr>
            <w:tcW w:w="1620" w:type="dxa"/>
            <w:tcBorders>
              <w:top w:val="single" w:sz="6" w:space="0" w:color="000000"/>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25/15/10</w:t>
            </w:r>
          </w:p>
        </w:tc>
        <w:tc>
          <w:tcPr>
            <w:tcW w:w="2520" w:type="dxa"/>
            <w:tcBorders>
              <w:top w:val="single" w:sz="6" w:space="0" w:color="000000"/>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 xml:space="preserve">Ozone (VOC) </w:t>
            </w:r>
            <w:r>
              <w:rPr>
                <w:b/>
                <w:color w:val="000000"/>
                <w:vertAlign w:val="superscript"/>
              </w:rPr>
              <w:t>2</w:t>
            </w:r>
          </w:p>
        </w:tc>
        <w:tc>
          <w:tcPr>
            <w:tcW w:w="3043" w:type="dxa"/>
            <w:tcBorders>
              <w:top w:val="single" w:sz="6" w:space="0" w:color="000000"/>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r>
      <w:tr w:rsidR="00590090" w:rsidTr="00590090">
        <w:trPr>
          <w:trHeight w:val="264"/>
          <w:jc w:val="center"/>
        </w:trPr>
        <w:tc>
          <w:tcPr>
            <w:tcW w:w="1875" w:type="dxa"/>
            <w:tcBorders>
              <w:top w:val="single" w:sz="6" w:space="0" w:color="000000"/>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PM</w:t>
            </w:r>
            <w:r>
              <w:rPr>
                <w:color w:val="000000"/>
                <w:vertAlign w:val="subscript"/>
              </w:rPr>
              <w:t>2.5</w:t>
            </w:r>
            <w:r>
              <w:rPr>
                <w:color w:val="000000"/>
              </w:rPr>
              <w:t xml:space="preserve"> (NO</w:t>
            </w:r>
            <w:r>
              <w:rPr>
                <w:vertAlign w:val="subscript"/>
              </w:rPr>
              <w:t>X</w:t>
            </w:r>
            <w:r>
              <w:rPr>
                <w:color w:val="000000"/>
              </w:rPr>
              <w:t>)</w:t>
            </w:r>
          </w:p>
        </w:tc>
        <w:tc>
          <w:tcPr>
            <w:tcW w:w="1620" w:type="dxa"/>
            <w:tcBorders>
              <w:top w:val="single" w:sz="6" w:space="0" w:color="000000"/>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c>
          <w:tcPr>
            <w:tcW w:w="2520" w:type="dxa"/>
            <w:tcBorders>
              <w:top w:val="single" w:sz="6" w:space="0" w:color="000000"/>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PM</w:t>
            </w:r>
            <w:r>
              <w:rPr>
                <w:color w:val="000000"/>
                <w:vertAlign w:val="subscript"/>
              </w:rPr>
              <w:t>2.5</w:t>
            </w:r>
            <w:r>
              <w:rPr>
                <w:color w:val="000000"/>
              </w:rPr>
              <w:t xml:space="preserve"> (SO</w:t>
            </w:r>
            <w:r>
              <w:rPr>
                <w:vertAlign w:val="subscript"/>
              </w:rPr>
              <w:t>2</w:t>
            </w:r>
            <w:r>
              <w:rPr>
                <w:color w:val="000000"/>
              </w:rPr>
              <w:t>)</w:t>
            </w:r>
          </w:p>
        </w:tc>
        <w:tc>
          <w:tcPr>
            <w:tcW w:w="3043" w:type="dxa"/>
            <w:tcBorders>
              <w:top w:val="single" w:sz="6" w:space="0" w:color="000000"/>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r>
      <w:tr w:rsidR="00590090" w:rsidTr="00590090">
        <w:trPr>
          <w:trHeight w:val="246"/>
          <w:jc w:val="center"/>
        </w:trPr>
        <w:tc>
          <w:tcPr>
            <w:tcW w:w="1875" w:type="dxa"/>
            <w:tcBorders>
              <w:top w:val="single" w:sz="6" w:space="0" w:color="000000"/>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Ozone (NO</w:t>
            </w:r>
            <w:r>
              <w:rPr>
                <w:vertAlign w:val="subscript"/>
              </w:rPr>
              <w:t>X</w:t>
            </w:r>
            <w:r>
              <w:rPr>
                <w:color w:val="000000"/>
              </w:rPr>
              <w:t xml:space="preserve">) </w:t>
            </w:r>
            <w:r>
              <w:rPr>
                <w:b/>
                <w:color w:val="000000"/>
                <w:vertAlign w:val="superscript"/>
              </w:rPr>
              <w:t>2</w:t>
            </w:r>
          </w:p>
        </w:tc>
        <w:tc>
          <w:tcPr>
            <w:tcW w:w="1620" w:type="dxa"/>
            <w:tcBorders>
              <w:top w:val="single" w:sz="6" w:space="0" w:color="000000"/>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c>
          <w:tcPr>
            <w:tcW w:w="2520" w:type="dxa"/>
            <w:tcBorders>
              <w:top w:val="single" w:sz="6" w:space="0" w:color="000000"/>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Sulfuric Acid Mist (SAM)</w:t>
            </w:r>
          </w:p>
        </w:tc>
        <w:tc>
          <w:tcPr>
            <w:tcW w:w="3043" w:type="dxa"/>
            <w:tcBorders>
              <w:top w:val="single" w:sz="6" w:space="0" w:color="000000"/>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7</w:t>
            </w:r>
          </w:p>
        </w:tc>
      </w:tr>
      <w:tr w:rsidR="00590090" w:rsidTr="00590090">
        <w:trPr>
          <w:trHeight w:val="255"/>
          <w:jc w:val="center"/>
        </w:trPr>
        <w:tc>
          <w:tcPr>
            <w:tcW w:w="1875" w:type="dxa"/>
            <w:tcBorders>
              <w:top w:val="single" w:sz="6" w:space="0" w:color="000000"/>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SO</w:t>
            </w:r>
            <w:r>
              <w:rPr>
                <w:color w:val="000000"/>
                <w:vertAlign w:val="subscript"/>
              </w:rPr>
              <w:t>2</w:t>
            </w:r>
          </w:p>
        </w:tc>
        <w:tc>
          <w:tcPr>
            <w:tcW w:w="1620" w:type="dxa"/>
            <w:tcBorders>
              <w:top w:val="single" w:sz="6" w:space="0" w:color="000000"/>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40</w:t>
            </w:r>
          </w:p>
        </w:tc>
        <w:tc>
          <w:tcPr>
            <w:tcW w:w="2520" w:type="dxa"/>
            <w:tcBorders>
              <w:top w:val="single" w:sz="6" w:space="0" w:color="000000"/>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Lead (Pb)</w:t>
            </w:r>
          </w:p>
        </w:tc>
        <w:tc>
          <w:tcPr>
            <w:tcW w:w="3043" w:type="dxa"/>
            <w:tcBorders>
              <w:top w:val="single" w:sz="6" w:space="0" w:color="000000"/>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0.6</w:t>
            </w:r>
          </w:p>
        </w:tc>
      </w:tr>
      <w:tr w:rsidR="00590090" w:rsidTr="00590090">
        <w:trPr>
          <w:trHeight w:val="255"/>
          <w:jc w:val="center"/>
        </w:trPr>
        <w:tc>
          <w:tcPr>
            <w:tcW w:w="1875" w:type="dxa"/>
            <w:tcBorders>
              <w:top w:val="single" w:sz="6" w:space="0" w:color="000000"/>
              <w:left w:val="single" w:sz="12"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Hg</w:t>
            </w:r>
          </w:p>
        </w:tc>
        <w:tc>
          <w:tcPr>
            <w:tcW w:w="1620" w:type="dxa"/>
            <w:tcBorders>
              <w:top w:val="single" w:sz="6" w:space="0" w:color="000000"/>
              <w:left w:val="single" w:sz="4" w:space="0" w:color="auto"/>
              <w:bottom w:val="single" w:sz="6" w:space="0" w:color="000000"/>
              <w:right w:val="single" w:sz="4"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 xml:space="preserve">0.1 </w:t>
            </w:r>
          </w:p>
        </w:tc>
        <w:tc>
          <w:tcPr>
            <w:tcW w:w="2520" w:type="dxa"/>
            <w:tcBorders>
              <w:top w:val="single" w:sz="6" w:space="0" w:color="000000"/>
              <w:left w:val="single" w:sz="4" w:space="0" w:color="auto"/>
              <w:bottom w:val="single" w:sz="6" w:space="0" w:color="000000"/>
              <w:right w:val="single" w:sz="4" w:space="0" w:color="auto"/>
            </w:tcBorders>
            <w:vAlign w:val="center"/>
            <w:hideMark/>
          </w:tcPr>
          <w:p w:rsidR="00590090" w:rsidRDefault="00590090">
            <w:pPr>
              <w:autoSpaceDE w:val="0"/>
              <w:autoSpaceDN w:val="0"/>
              <w:adjustRightInd w:val="0"/>
              <w:spacing w:before="20" w:after="20"/>
              <w:jc w:val="center"/>
              <w:rPr>
                <w:color w:val="000000"/>
              </w:rPr>
            </w:pPr>
            <w:r>
              <w:rPr>
                <w:color w:val="000000"/>
              </w:rPr>
              <w:t>GHG</w:t>
            </w:r>
          </w:p>
        </w:tc>
        <w:tc>
          <w:tcPr>
            <w:tcW w:w="3043" w:type="dxa"/>
            <w:tcBorders>
              <w:top w:val="single" w:sz="6" w:space="0" w:color="000000"/>
              <w:left w:val="single" w:sz="4" w:space="0" w:color="auto"/>
              <w:bottom w:val="single" w:sz="6" w:space="0" w:color="000000"/>
              <w:right w:val="single" w:sz="12" w:space="0" w:color="auto"/>
            </w:tcBorders>
            <w:shd w:val="clear" w:color="auto" w:fill="C6D9F1" w:themeFill="text2" w:themeFillTint="33"/>
            <w:vAlign w:val="center"/>
            <w:hideMark/>
          </w:tcPr>
          <w:p w:rsidR="00590090" w:rsidRDefault="00590090">
            <w:pPr>
              <w:autoSpaceDE w:val="0"/>
              <w:autoSpaceDN w:val="0"/>
              <w:adjustRightInd w:val="0"/>
              <w:spacing w:before="20" w:after="20"/>
              <w:jc w:val="center"/>
              <w:rPr>
                <w:color w:val="000000"/>
              </w:rPr>
            </w:pPr>
            <w:r>
              <w:rPr>
                <w:color w:val="000000"/>
              </w:rPr>
              <w:t>75,000 (CO</w:t>
            </w:r>
            <w:r>
              <w:rPr>
                <w:color w:val="000000"/>
                <w:vertAlign w:val="subscript"/>
              </w:rPr>
              <w:t>2</w:t>
            </w:r>
            <w:r>
              <w:rPr>
                <w:color w:val="000000"/>
              </w:rPr>
              <w:t xml:space="preserve">e) </w:t>
            </w:r>
            <w:r>
              <w:rPr>
                <w:b/>
                <w:color w:val="000000"/>
                <w:vertAlign w:val="superscript"/>
              </w:rPr>
              <w:t>3</w:t>
            </w:r>
          </w:p>
        </w:tc>
      </w:tr>
      <w:tr w:rsidR="00590090" w:rsidTr="00590090">
        <w:trPr>
          <w:trHeight w:val="311"/>
          <w:jc w:val="center"/>
        </w:trPr>
        <w:tc>
          <w:tcPr>
            <w:tcW w:w="9058" w:type="dxa"/>
            <w:gridSpan w:val="4"/>
            <w:tcBorders>
              <w:top w:val="single" w:sz="4" w:space="0" w:color="auto"/>
              <w:left w:val="single" w:sz="12" w:space="0" w:color="auto"/>
              <w:bottom w:val="single" w:sz="12" w:space="0" w:color="auto"/>
              <w:right w:val="single" w:sz="12" w:space="0" w:color="auto"/>
            </w:tcBorders>
            <w:hideMark/>
          </w:tcPr>
          <w:p w:rsidR="00590090" w:rsidRDefault="00590090" w:rsidP="00590090">
            <w:pPr>
              <w:numPr>
                <w:ilvl w:val="0"/>
                <w:numId w:val="9"/>
              </w:numPr>
              <w:tabs>
                <w:tab w:val="num" w:pos="342"/>
              </w:tabs>
              <w:autoSpaceDE w:val="0"/>
              <w:autoSpaceDN w:val="0"/>
              <w:adjustRightInd w:val="0"/>
              <w:spacing w:before="20"/>
              <w:ind w:left="342" w:hanging="328"/>
              <w:rPr>
                <w:color w:val="000000"/>
                <w:sz w:val="16"/>
                <w:szCs w:val="16"/>
              </w:rPr>
            </w:pPr>
            <w:r>
              <w:rPr>
                <w:color w:val="000000"/>
                <w:sz w:val="16"/>
                <w:szCs w:val="16"/>
              </w:rPr>
              <w:t>Excluding fluoride and those pollutants defined for Pulp and Paper, MWC, MSW landfills.</w:t>
            </w:r>
          </w:p>
          <w:p w:rsidR="00590090" w:rsidRPr="00590090" w:rsidRDefault="00590090" w:rsidP="00590090">
            <w:pPr>
              <w:numPr>
                <w:ilvl w:val="0"/>
                <w:numId w:val="9"/>
              </w:numPr>
              <w:tabs>
                <w:tab w:val="num" w:pos="342"/>
              </w:tabs>
              <w:autoSpaceDE w:val="0"/>
              <w:autoSpaceDN w:val="0"/>
              <w:adjustRightInd w:val="0"/>
              <w:ind w:left="342" w:hanging="328"/>
              <w:rPr>
                <w:color w:val="000000"/>
                <w:sz w:val="16"/>
                <w:szCs w:val="16"/>
              </w:rPr>
            </w:pPr>
            <w:r>
              <w:rPr>
                <w:color w:val="000000"/>
                <w:sz w:val="16"/>
                <w:szCs w:val="16"/>
              </w:rPr>
              <w:t>Ozone (O</w:t>
            </w:r>
            <w:r>
              <w:rPr>
                <w:color w:val="000000"/>
                <w:sz w:val="16"/>
                <w:szCs w:val="16"/>
                <w:vertAlign w:val="subscript"/>
              </w:rPr>
              <w:t>3</w:t>
            </w:r>
            <w:r>
              <w:rPr>
                <w:color w:val="000000"/>
                <w:sz w:val="16"/>
                <w:szCs w:val="16"/>
              </w:rPr>
              <w:t>) is regulated by its precursors (VOC and NO</w:t>
            </w:r>
            <w:r>
              <w:rPr>
                <w:color w:val="000000"/>
                <w:sz w:val="16"/>
                <w:szCs w:val="16"/>
                <w:vertAlign w:val="subscript"/>
              </w:rPr>
              <w:t>X</w:t>
            </w:r>
            <w:r>
              <w:rPr>
                <w:color w:val="000000"/>
                <w:sz w:val="16"/>
                <w:szCs w:val="16"/>
              </w:rPr>
              <w:t>).  PSD for PM</w:t>
            </w:r>
            <w:r>
              <w:rPr>
                <w:color w:val="000000"/>
                <w:sz w:val="16"/>
                <w:szCs w:val="16"/>
                <w:vertAlign w:val="subscript"/>
              </w:rPr>
              <w:t>2.5</w:t>
            </w:r>
            <w:r>
              <w:rPr>
                <w:color w:val="000000"/>
                <w:sz w:val="16"/>
                <w:szCs w:val="16"/>
              </w:rPr>
              <w:t xml:space="preserve"> can be triggered by its precursors (NO</w:t>
            </w:r>
            <w:r>
              <w:rPr>
                <w:color w:val="000000"/>
                <w:sz w:val="16"/>
                <w:szCs w:val="16"/>
                <w:vertAlign w:val="subscript"/>
              </w:rPr>
              <w:t>X</w:t>
            </w:r>
            <w:r>
              <w:rPr>
                <w:color w:val="000000"/>
                <w:sz w:val="16"/>
                <w:szCs w:val="16"/>
              </w:rPr>
              <w:t xml:space="preserve"> and SO</w:t>
            </w:r>
            <w:r>
              <w:rPr>
                <w:color w:val="000000"/>
                <w:sz w:val="16"/>
                <w:szCs w:val="16"/>
                <w:vertAlign w:val="subscript"/>
              </w:rPr>
              <w:t>2</w:t>
            </w:r>
            <w:r>
              <w:rPr>
                <w:color w:val="000000"/>
                <w:sz w:val="16"/>
                <w:szCs w:val="16"/>
              </w:rPr>
              <w:t>).</w:t>
            </w:r>
          </w:p>
          <w:p w:rsidR="00590090" w:rsidRDefault="00590090" w:rsidP="00590090">
            <w:pPr>
              <w:keepNext/>
              <w:numPr>
                <w:ilvl w:val="0"/>
                <w:numId w:val="9"/>
              </w:numPr>
              <w:tabs>
                <w:tab w:val="num" w:pos="342"/>
              </w:tabs>
              <w:autoSpaceDE w:val="0"/>
              <w:autoSpaceDN w:val="0"/>
              <w:adjustRightInd w:val="0"/>
              <w:spacing w:after="20"/>
              <w:ind w:left="342" w:hanging="328"/>
              <w:outlineLvl w:val="0"/>
              <w:rPr>
                <w:color w:val="000000"/>
                <w:sz w:val="18"/>
                <w:szCs w:val="18"/>
              </w:rPr>
            </w:pPr>
            <w:r>
              <w:rPr>
                <w:rFonts w:eastAsia="Calibri"/>
                <w:sz w:val="16"/>
                <w:szCs w:val="16"/>
              </w:rPr>
              <w:t>In making the CO</w:t>
            </w:r>
            <w:r>
              <w:rPr>
                <w:rFonts w:eastAsia="Calibri"/>
                <w:sz w:val="16"/>
                <w:szCs w:val="16"/>
                <w:vertAlign w:val="subscript"/>
              </w:rPr>
              <w:t>2</w:t>
            </w:r>
            <w:r>
              <w:rPr>
                <w:rFonts w:eastAsia="Calibri"/>
                <w:sz w:val="16"/>
                <w:szCs w:val="16"/>
              </w:rPr>
              <w:t xml:space="preserve">e calculation, the </w:t>
            </w:r>
            <w:r>
              <w:rPr>
                <w:sz w:val="16"/>
                <w:szCs w:val="16"/>
              </w:rPr>
              <w:t>values listed in 40 CFR 98, Subpart A, Table A-1 are used to weight emissions by their respective Global Warming Potential (GWP).  For example, the current GWP factors for four of the GHGs are:  CO</w:t>
            </w:r>
            <w:r>
              <w:rPr>
                <w:sz w:val="16"/>
                <w:szCs w:val="16"/>
                <w:vertAlign w:val="subscript"/>
              </w:rPr>
              <w:t>2</w:t>
            </w:r>
            <w:r>
              <w:rPr>
                <w:sz w:val="16"/>
                <w:szCs w:val="16"/>
              </w:rPr>
              <w:t xml:space="preserve"> = 1; CH</w:t>
            </w:r>
            <w:r>
              <w:rPr>
                <w:sz w:val="16"/>
                <w:szCs w:val="16"/>
                <w:vertAlign w:val="subscript"/>
              </w:rPr>
              <w:t>4</w:t>
            </w:r>
            <w:r>
              <w:rPr>
                <w:sz w:val="16"/>
                <w:szCs w:val="16"/>
              </w:rPr>
              <w:t xml:space="preserve"> = 25; N</w:t>
            </w:r>
            <w:r>
              <w:rPr>
                <w:sz w:val="16"/>
                <w:szCs w:val="16"/>
                <w:vertAlign w:val="subscript"/>
              </w:rPr>
              <w:t>2</w:t>
            </w:r>
            <w:r>
              <w:rPr>
                <w:sz w:val="16"/>
                <w:szCs w:val="16"/>
              </w:rPr>
              <w:t>O = 298 and SF</w:t>
            </w:r>
            <w:r>
              <w:rPr>
                <w:sz w:val="16"/>
                <w:szCs w:val="16"/>
                <w:vertAlign w:val="subscript"/>
              </w:rPr>
              <w:t>6</w:t>
            </w:r>
            <w:r>
              <w:rPr>
                <w:sz w:val="16"/>
                <w:szCs w:val="16"/>
              </w:rPr>
              <w:t xml:space="preserve"> = 22,800.  </w:t>
            </w:r>
          </w:p>
        </w:tc>
      </w:tr>
    </w:tbl>
    <w:p w:rsidR="00590090" w:rsidRPr="00590090" w:rsidRDefault="00590090" w:rsidP="00590090">
      <w:pPr>
        <w:pStyle w:val="ListParagraph"/>
        <w:numPr>
          <w:ilvl w:val="1"/>
          <w:numId w:val="6"/>
        </w:numPr>
        <w:spacing w:before="120" w:after="120"/>
        <w:ind w:left="720" w:hanging="720"/>
        <w:contextualSpacing w:val="0"/>
        <w:rPr>
          <w:b/>
          <w:sz w:val="22"/>
        </w:rPr>
      </w:pPr>
      <w:r w:rsidRPr="00590090">
        <w:rPr>
          <w:b/>
          <w:sz w:val="22"/>
        </w:rPr>
        <w:t>PSD Applicability for Project</w:t>
      </w:r>
    </w:p>
    <w:p w:rsidR="00590090" w:rsidRPr="00590090" w:rsidRDefault="00590090" w:rsidP="00590090">
      <w:pPr>
        <w:widowControl w:val="0"/>
        <w:spacing w:after="120"/>
        <w:rPr>
          <w:sz w:val="22"/>
        </w:rPr>
      </w:pPr>
      <w:r w:rsidRPr="00590090">
        <w:rPr>
          <w:sz w:val="22"/>
        </w:rPr>
        <w:t xml:space="preserve">The project </w:t>
      </w:r>
      <w:r w:rsidR="00C92D6B" w:rsidRPr="00590090">
        <w:rPr>
          <w:sz w:val="22"/>
        </w:rPr>
        <w:t>is in</w:t>
      </w:r>
      <w:r w:rsidRPr="00590090">
        <w:rPr>
          <w:sz w:val="22"/>
        </w:rPr>
        <w:t xml:space="preserve"> Lee County, which is currently in attainment with all ambient air quality standards or otherwise designated as unclassifiable.  This project involves re-permitting the </w:t>
      </w:r>
      <w:r>
        <w:rPr>
          <w:sz w:val="22"/>
        </w:rPr>
        <w:t>Lee County RRF</w:t>
      </w:r>
      <w:r w:rsidRPr="00590090">
        <w:rPr>
          <w:sz w:val="22"/>
        </w:rPr>
        <w:t xml:space="preserve"> with </w:t>
      </w:r>
      <w:r w:rsidR="00C92D6B" w:rsidRPr="00590090">
        <w:rPr>
          <w:sz w:val="22"/>
        </w:rPr>
        <w:t>the result</w:t>
      </w:r>
      <w:r w:rsidRPr="00590090">
        <w:rPr>
          <w:sz w:val="22"/>
        </w:rPr>
        <w:t xml:space="preserve"> being a </w:t>
      </w:r>
      <w:r>
        <w:rPr>
          <w:sz w:val="22"/>
        </w:rPr>
        <w:t>“</w:t>
      </w:r>
      <w:r w:rsidRPr="00590090">
        <w:rPr>
          <w:sz w:val="22"/>
        </w:rPr>
        <w:t>clean</w:t>
      </w:r>
      <w:r>
        <w:rPr>
          <w:sz w:val="22"/>
        </w:rPr>
        <w:t>”</w:t>
      </w:r>
      <w:r w:rsidRPr="00590090">
        <w:rPr>
          <w:sz w:val="22"/>
        </w:rPr>
        <w:t xml:space="preserve"> new construction permit incorporating all relevant conditions </w:t>
      </w:r>
      <w:proofErr w:type="gramStart"/>
      <w:r w:rsidRPr="00590090">
        <w:rPr>
          <w:sz w:val="22"/>
        </w:rPr>
        <w:t>with regard to</w:t>
      </w:r>
      <w:proofErr w:type="gramEnd"/>
      <w:r w:rsidRPr="00590090">
        <w:rPr>
          <w:sz w:val="22"/>
        </w:rPr>
        <w:t xml:space="preserve"> federal and state rules and requirements.  In addition, all applicable previous permitting actions are incorporated into this new “clean” air construction permit, and obsolete and redundant conditions have been removed.  No modification to existing emission units nor any increase pollutant emissions is authorized by this project.  Consequently, PSD does not apply to this project.</w:t>
      </w:r>
    </w:p>
    <w:p w:rsidR="00193F10" w:rsidRDefault="00617209" w:rsidP="00C92D6B">
      <w:pPr>
        <w:pStyle w:val="ListParagraph"/>
        <w:numPr>
          <w:ilvl w:val="0"/>
          <w:numId w:val="6"/>
        </w:numPr>
        <w:spacing w:after="120"/>
        <w:ind w:left="720" w:hanging="720"/>
        <w:rPr>
          <w:b/>
          <w:caps/>
          <w:sz w:val="22"/>
        </w:rPr>
      </w:pPr>
      <w:r>
        <w:rPr>
          <w:b/>
          <w:caps/>
          <w:sz w:val="22"/>
        </w:rPr>
        <w:t>Department review</w:t>
      </w:r>
    </w:p>
    <w:p w:rsidR="000633F4" w:rsidRDefault="00DF606F" w:rsidP="004D1D9F">
      <w:pPr>
        <w:pStyle w:val="BodyText"/>
        <w:widowControl w:val="0"/>
        <w:jc w:val="both"/>
        <w:rPr>
          <w:sz w:val="22"/>
        </w:rPr>
      </w:pPr>
      <w:r>
        <w:rPr>
          <w:sz w:val="22"/>
        </w:rPr>
        <w:t xml:space="preserve">The permittee and the Department have identified all previous air construction permits to be incorporated into this new consolidation permit.  None of these permits have been issued since the most recent renewal of the facility’s Title V air operation permit, so this new permit will be very </w:t>
      </w:r>
      <w:proofErr w:type="gramStart"/>
      <w:r>
        <w:rPr>
          <w:sz w:val="22"/>
        </w:rPr>
        <w:t>simil</w:t>
      </w:r>
      <w:bookmarkStart w:id="4" w:name="_GoBack"/>
      <w:bookmarkEnd w:id="4"/>
      <w:r>
        <w:rPr>
          <w:sz w:val="22"/>
        </w:rPr>
        <w:t>ar to</w:t>
      </w:r>
      <w:proofErr w:type="gramEnd"/>
      <w:r>
        <w:rPr>
          <w:sz w:val="22"/>
        </w:rPr>
        <w:t xml:space="preserve"> the facility’</w:t>
      </w:r>
      <w:r w:rsidR="000633F4">
        <w:rPr>
          <w:sz w:val="22"/>
        </w:rPr>
        <w:t>s current Title V permit, which has already incorporated all relevant conditions from all previous air construction permits, including PSD permits.</w:t>
      </w:r>
    </w:p>
    <w:p w:rsidR="00C8557E" w:rsidRPr="00DF606F" w:rsidRDefault="00C8557E" w:rsidP="004D1D9F">
      <w:pPr>
        <w:pStyle w:val="BodyText"/>
        <w:widowControl w:val="0"/>
        <w:jc w:val="both"/>
        <w:rPr>
          <w:sz w:val="22"/>
        </w:rPr>
      </w:pPr>
      <w:r>
        <w:rPr>
          <w:sz w:val="22"/>
        </w:rPr>
        <w:t>These permit changes are included in a Title V permit revision, which is being processing concurrently.</w:t>
      </w:r>
    </w:p>
    <w:p w:rsidR="00193F10" w:rsidRPr="000B4B28" w:rsidRDefault="00193F10" w:rsidP="00C92D6B">
      <w:pPr>
        <w:pStyle w:val="ListParagraph"/>
        <w:numPr>
          <w:ilvl w:val="0"/>
          <w:numId w:val="6"/>
        </w:numPr>
        <w:spacing w:after="120"/>
        <w:ind w:left="720" w:hanging="720"/>
        <w:rPr>
          <w:b/>
          <w:caps/>
          <w:sz w:val="22"/>
        </w:rPr>
      </w:pPr>
      <w:r w:rsidRPr="000B4B28">
        <w:rPr>
          <w:b/>
          <w:caps/>
          <w:sz w:val="22"/>
        </w:rPr>
        <w:t>Preliminary Determination</w:t>
      </w:r>
    </w:p>
    <w:p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C8557E">
        <w:rPr>
          <w:sz w:val="22"/>
        </w:rPr>
        <w:t>John Dawson</w:t>
      </w:r>
      <w:r>
        <w:rPr>
          <w:sz w:val="22"/>
        </w:rPr>
        <w:t xml:space="preserve"> is the project engineer responsible for reviewing the application and drafting the permit.  Additional details of this analysis may be obtained by contacting the project engineer at the Department’s </w:t>
      </w:r>
      <w:r w:rsidR="009F6095">
        <w:rPr>
          <w:sz w:val="22"/>
        </w:rPr>
        <w:t>Office of Permitting and Compliance</w:t>
      </w:r>
      <w:r>
        <w:rPr>
          <w:sz w:val="22"/>
        </w:rPr>
        <w:t xml:space="preserve"> at Mail Station #5505, 2600 Blair</w:t>
      </w:r>
      <w:r w:rsidR="00FF52D5">
        <w:rPr>
          <w:sz w:val="22"/>
        </w:rPr>
        <w:t xml:space="preserve"> S</w:t>
      </w:r>
      <w:r>
        <w:rPr>
          <w:sz w:val="22"/>
        </w:rPr>
        <w:t xml:space="preserve">tone Road, Tallahassee, </w:t>
      </w:r>
      <w:proofErr w:type="gramStart"/>
      <w:r>
        <w:rPr>
          <w:sz w:val="22"/>
        </w:rPr>
        <w:t>Florida  32399</w:t>
      </w:r>
      <w:proofErr w:type="gramEnd"/>
      <w:r>
        <w:rPr>
          <w:sz w:val="22"/>
        </w:rPr>
        <w:t>-2400</w:t>
      </w:r>
      <w:r w:rsidR="003C5D7A">
        <w:rPr>
          <w:sz w:val="22"/>
        </w:rPr>
        <w:t xml:space="preserve"> at 850</w:t>
      </w:r>
      <w:r w:rsidR="00C8557E">
        <w:rPr>
          <w:sz w:val="22"/>
        </w:rPr>
        <w:t>-</w:t>
      </w:r>
      <w:r w:rsidR="003C5D7A">
        <w:rPr>
          <w:sz w:val="22"/>
        </w:rPr>
        <w:t>717-</w:t>
      </w:r>
      <w:r w:rsidR="00C8557E">
        <w:rPr>
          <w:sz w:val="22"/>
        </w:rPr>
        <w:t>9085</w:t>
      </w:r>
      <w:r w:rsidR="003C5D7A">
        <w:rPr>
          <w:sz w:val="22"/>
        </w:rPr>
        <w:t xml:space="preserve"> or by email </w:t>
      </w:r>
      <w:hyperlink r:id="rId12" w:history="1">
        <w:r w:rsidR="00C8557E" w:rsidRPr="0057039F">
          <w:rPr>
            <w:rStyle w:val="Hyperlink"/>
            <w:sz w:val="22"/>
          </w:rPr>
          <w:t>John.Dawson@dep.state.fl.us</w:t>
        </w:r>
      </w:hyperlink>
      <w:r w:rsidR="002968C8">
        <w:rPr>
          <w:sz w:val="22"/>
        </w:rPr>
        <w:t>.</w:t>
      </w:r>
    </w:p>
    <w:sectPr w:rsidR="00193F10" w:rsidSect="00955781">
      <w:headerReference w:type="default" r:id="rId13"/>
      <w:footerReference w:type="default" r:id="rId14"/>
      <w:headerReference w:type="first" r:id="rId15"/>
      <w:footerReference w:type="first" r:id="rId16"/>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Pr="007879FA" w:rsidRDefault="007879FA" w:rsidP="003C5D7A">
    <w:pPr>
      <w:pBdr>
        <w:top w:val="single" w:sz="6" w:space="1" w:color="auto"/>
      </w:pBdr>
      <w:tabs>
        <w:tab w:val="right" w:pos="10080"/>
      </w:tabs>
      <w:spacing w:before="240"/>
      <w:rPr>
        <w:rStyle w:val="PageNumber"/>
      </w:rPr>
    </w:pPr>
    <w:r w:rsidRPr="007879FA">
      <w:rPr>
        <w:rStyle w:val="PageNumber"/>
      </w:rPr>
      <w:t>Lee County Solid Waste Division</w:t>
    </w:r>
    <w:r w:rsidR="00461B52" w:rsidRPr="007879FA">
      <w:rPr>
        <w:rStyle w:val="PageNumber"/>
      </w:rPr>
      <w:tab/>
      <w:t xml:space="preserve">Project No. </w:t>
    </w:r>
    <w:r w:rsidRPr="007879FA">
      <w:rPr>
        <w:rStyle w:val="PageNumber"/>
      </w:rPr>
      <w:t>0710119-014</w:t>
    </w:r>
    <w:r w:rsidR="00461B52" w:rsidRPr="007879FA">
      <w:rPr>
        <w:rStyle w:val="PageNumber"/>
      </w:rPr>
      <w:t>-AC</w:t>
    </w:r>
    <w:r w:rsidRPr="007879FA">
      <w:rPr>
        <w:rStyle w:val="PageNumber"/>
      </w:rPr>
      <w:t>/PSD-FL-151H</w:t>
    </w:r>
  </w:p>
  <w:p w:rsidR="00461B52" w:rsidRPr="00C02BEB" w:rsidRDefault="007879FA" w:rsidP="003C5D7A">
    <w:pPr>
      <w:pBdr>
        <w:top w:val="single" w:sz="6" w:space="1" w:color="auto"/>
      </w:pBdr>
      <w:tabs>
        <w:tab w:val="right" w:pos="10080"/>
      </w:tabs>
      <w:rPr>
        <w:rStyle w:val="PageNumber"/>
      </w:rPr>
    </w:pPr>
    <w:r w:rsidRPr="007879FA">
      <w:rPr>
        <w:rStyle w:val="PageNumber"/>
      </w:rPr>
      <w:t>Lee County Resource Recovery Facility</w:t>
    </w:r>
    <w:r w:rsidR="00461B52" w:rsidRPr="007879FA">
      <w:rPr>
        <w:rStyle w:val="PageNumber"/>
      </w:rPr>
      <w:tab/>
    </w:r>
    <w:r w:rsidRPr="007879FA">
      <w:rPr>
        <w:rStyle w:val="PageNumber"/>
      </w:rPr>
      <w:t>Re-Permitting of Facility</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814A38">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814A38">
      <w:rPr>
        <w:rStyle w:val="PageNumber"/>
        <w:noProof/>
      </w:rPr>
      <w:t>6</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7B56331"/>
    <w:multiLevelType w:val="hybridMultilevel"/>
    <w:tmpl w:val="86A636F4"/>
    <w:lvl w:ilvl="0" w:tplc="912A6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F527E60"/>
    <w:multiLevelType w:val="multilevel"/>
    <w:tmpl w:val="5C1875F8"/>
    <w:lvl w:ilvl="0">
      <w:start w:val="1"/>
      <w:numFmt w:val="decimal"/>
      <w:lvlText w:val="%1."/>
      <w:lvlJc w:val="left"/>
      <w:pPr>
        <w:ind w:left="360" w:hanging="360"/>
      </w:pPr>
      <w:rPr>
        <w:rFonts w:hint="default"/>
        <w:sz w:val="22"/>
        <w:szCs w:val="22"/>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6"/>
  </w:num>
  <w:num w:numId="3">
    <w:abstractNumId w:val="0"/>
  </w:num>
  <w:num w:numId="4">
    <w:abstractNumId w:val="1"/>
  </w:num>
  <w:num w:numId="5">
    <w:abstractNumId w:val="5"/>
  </w:num>
  <w:num w:numId="6">
    <w:abstractNumId w:val="4"/>
  </w:num>
  <w:num w:numId="7">
    <w:abstractNumId w:val="2"/>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2693"/>
    <w:rsid w:val="00036FEF"/>
    <w:rsid w:val="00042F90"/>
    <w:rsid w:val="000633F4"/>
    <w:rsid w:val="00074180"/>
    <w:rsid w:val="00074E95"/>
    <w:rsid w:val="000B3948"/>
    <w:rsid w:val="000B4B28"/>
    <w:rsid w:val="000C5143"/>
    <w:rsid w:val="000E42D3"/>
    <w:rsid w:val="000E6D60"/>
    <w:rsid w:val="00111453"/>
    <w:rsid w:val="00140CD4"/>
    <w:rsid w:val="001771DC"/>
    <w:rsid w:val="00193F10"/>
    <w:rsid w:val="00194AA6"/>
    <w:rsid w:val="001C4E37"/>
    <w:rsid w:val="001D1649"/>
    <w:rsid w:val="001D487F"/>
    <w:rsid w:val="001D66D6"/>
    <w:rsid w:val="001E2CD6"/>
    <w:rsid w:val="00201860"/>
    <w:rsid w:val="002225DD"/>
    <w:rsid w:val="002968C8"/>
    <w:rsid w:val="002A28C2"/>
    <w:rsid w:val="002F0E6E"/>
    <w:rsid w:val="00302267"/>
    <w:rsid w:val="00312095"/>
    <w:rsid w:val="0033363A"/>
    <w:rsid w:val="00346552"/>
    <w:rsid w:val="00362B27"/>
    <w:rsid w:val="00374AEE"/>
    <w:rsid w:val="003858DE"/>
    <w:rsid w:val="0039482F"/>
    <w:rsid w:val="003A3C29"/>
    <w:rsid w:val="003B1E0A"/>
    <w:rsid w:val="003C5D7A"/>
    <w:rsid w:val="003D09E5"/>
    <w:rsid w:val="003E683A"/>
    <w:rsid w:val="003F1AFB"/>
    <w:rsid w:val="0040283C"/>
    <w:rsid w:val="00410073"/>
    <w:rsid w:val="0043123B"/>
    <w:rsid w:val="00436487"/>
    <w:rsid w:val="004414F2"/>
    <w:rsid w:val="00446FE7"/>
    <w:rsid w:val="00461B52"/>
    <w:rsid w:val="004717A3"/>
    <w:rsid w:val="004819E0"/>
    <w:rsid w:val="004B084A"/>
    <w:rsid w:val="004B5185"/>
    <w:rsid w:val="004C0984"/>
    <w:rsid w:val="004D1D9F"/>
    <w:rsid w:val="004E48C8"/>
    <w:rsid w:val="00590090"/>
    <w:rsid w:val="005E36E4"/>
    <w:rsid w:val="00617209"/>
    <w:rsid w:val="0065214A"/>
    <w:rsid w:val="0066044B"/>
    <w:rsid w:val="006637B8"/>
    <w:rsid w:val="00684184"/>
    <w:rsid w:val="00686486"/>
    <w:rsid w:val="006B6EFE"/>
    <w:rsid w:val="006D3CA8"/>
    <w:rsid w:val="00701FEF"/>
    <w:rsid w:val="00703BA6"/>
    <w:rsid w:val="007238CA"/>
    <w:rsid w:val="00741F1A"/>
    <w:rsid w:val="00762E18"/>
    <w:rsid w:val="007747AA"/>
    <w:rsid w:val="00782ABD"/>
    <w:rsid w:val="00786837"/>
    <w:rsid w:val="007879FA"/>
    <w:rsid w:val="007E5CA3"/>
    <w:rsid w:val="007F7B7E"/>
    <w:rsid w:val="00814A38"/>
    <w:rsid w:val="00835018"/>
    <w:rsid w:val="00850561"/>
    <w:rsid w:val="008560BD"/>
    <w:rsid w:val="008603FF"/>
    <w:rsid w:val="008673D3"/>
    <w:rsid w:val="0087009A"/>
    <w:rsid w:val="00915F63"/>
    <w:rsid w:val="0093238E"/>
    <w:rsid w:val="00955781"/>
    <w:rsid w:val="0099253F"/>
    <w:rsid w:val="009B32D2"/>
    <w:rsid w:val="009F6095"/>
    <w:rsid w:val="00A938D5"/>
    <w:rsid w:val="00A948F3"/>
    <w:rsid w:val="00B103DE"/>
    <w:rsid w:val="00B2315F"/>
    <w:rsid w:val="00B73F8A"/>
    <w:rsid w:val="00B7612C"/>
    <w:rsid w:val="00BB1087"/>
    <w:rsid w:val="00BC5729"/>
    <w:rsid w:val="00BE0F0E"/>
    <w:rsid w:val="00C02BEB"/>
    <w:rsid w:val="00C06C6D"/>
    <w:rsid w:val="00C24ED7"/>
    <w:rsid w:val="00C502D1"/>
    <w:rsid w:val="00C66E7D"/>
    <w:rsid w:val="00C7510F"/>
    <w:rsid w:val="00C75C6F"/>
    <w:rsid w:val="00C8557E"/>
    <w:rsid w:val="00C91428"/>
    <w:rsid w:val="00C92D6B"/>
    <w:rsid w:val="00CE6739"/>
    <w:rsid w:val="00D07B72"/>
    <w:rsid w:val="00D1773B"/>
    <w:rsid w:val="00D20DAC"/>
    <w:rsid w:val="00D24F36"/>
    <w:rsid w:val="00D262B1"/>
    <w:rsid w:val="00D314CC"/>
    <w:rsid w:val="00D4398E"/>
    <w:rsid w:val="00D51D78"/>
    <w:rsid w:val="00D727AB"/>
    <w:rsid w:val="00DA4D8D"/>
    <w:rsid w:val="00DB4E11"/>
    <w:rsid w:val="00DF606F"/>
    <w:rsid w:val="00E42819"/>
    <w:rsid w:val="00E476AE"/>
    <w:rsid w:val="00E50051"/>
    <w:rsid w:val="00E607EE"/>
    <w:rsid w:val="00E84B3B"/>
    <w:rsid w:val="00EC2EC6"/>
    <w:rsid w:val="00EC344E"/>
    <w:rsid w:val="00EE6112"/>
    <w:rsid w:val="00F10EA3"/>
    <w:rsid w:val="00F11008"/>
    <w:rsid w:val="00F35406"/>
    <w:rsid w:val="00F507A4"/>
    <w:rsid w:val="00F71458"/>
    <w:rsid w:val="00F77D22"/>
    <w:rsid w:val="00FF52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hapeDefaults>
    <o:shapedefaults v:ext="edit" spidmax="31745"/>
    <o:shapelayout v:ext="edit">
      <o:idmap v:ext="edit" data="1"/>
    </o:shapelayout>
  </w:shapeDefaults>
  <w:decimalSymbol w:val="."/>
  <w:listSeparator w:val=","/>
  <w14:docId w14:val="5CDA8AFD"/>
  <w15:docId w15:val="{E3626B76-9B93-457F-8CF1-4648552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ListParagraph">
    <w:name w:val="List Paragraph"/>
    <w:basedOn w:val="Normal"/>
    <w:uiPriority w:val="34"/>
    <w:qFormat/>
    <w:rsid w:val="003C5D7A"/>
    <w:pPr>
      <w:ind w:left="720"/>
      <w:contextualSpacing/>
    </w:pPr>
  </w:style>
  <w:style w:type="paragraph" w:styleId="Caption">
    <w:name w:val="caption"/>
    <w:basedOn w:val="Normal"/>
    <w:next w:val="Normal"/>
    <w:unhideWhenUsed/>
    <w:qFormat/>
    <w:rsid w:val="00EC2EC6"/>
    <w:pPr>
      <w:spacing w:after="200"/>
    </w:pPr>
    <w:rPr>
      <w:i/>
      <w:iCs/>
      <w:color w:val="1F497D" w:themeColor="text2"/>
      <w:sz w:val="18"/>
      <w:szCs w:val="18"/>
    </w:r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59009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533282">
      <w:bodyDiv w:val="1"/>
      <w:marLeft w:val="0"/>
      <w:marRight w:val="0"/>
      <w:marTop w:val="0"/>
      <w:marBottom w:val="0"/>
      <w:divBdr>
        <w:top w:val="none" w:sz="0" w:space="0" w:color="auto"/>
        <w:left w:val="none" w:sz="0" w:space="0" w:color="auto"/>
        <w:bottom w:val="none" w:sz="0" w:space="0" w:color="auto"/>
        <w:right w:val="none" w:sz="0" w:space="0" w:color="auto"/>
      </w:divBdr>
    </w:div>
    <w:div w:id="173488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ohn.Dawson@dep.state.fl.u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3315-82CC-4A3F-A8B4-044404BD3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2154</Words>
  <Characters>12188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13</cp:revision>
  <cp:lastPrinted>2009-02-12T15:11:00Z</cp:lastPrinted>
  <dcterms:created xsi:type="dcterms:W3CDTF">2017-03-01T18:08:00Z</dcterms:created>
  <dcterms:modified xsi:type="dcterms:W3CDTF">2017-04-04T12:33:00Z</dcterms:modified>
</cp:coreProperties>
</file>